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谈判采购</w:t>
      </w:r>
      <w:r>
        <w:rPr>
          <w:rFonts w:hint="eastAsia"/>
          <w:b/>
          <w:bCs/>
          <w:sz w:val="84"/>
          <w:szCs w:val="84"/>
        </w:rPr>
        <w:t>文件</w:t>
      </w:r>
    </w:p>
    <w:p>
      <w:pPr>
        <w:rPr>
          <w:rFonts w:hint="eastAsia"/>
          <w:sz w:val="32"/>
          <w:szCs w:val="32"/>
        </w:rPr>
      </w:pPr>
    </w:p>
    <w:p>
      <w:pPr>
        <w:rPr>
          <w:rFonts w:hint="eastAsia"/>
          <w:sz w:val="32"/>
          <w:szCs w:val="32"/>
        </w:rPr>
      </w:pPr>
    </w:p>
    <w:p>
      <w:pPr>
        <w:rPr>
          <w:rFonts w:hint="eastAsia"/>
          <w:sz w:val="32"/>
          <w:szCs w:val="32"/>
        </w:rPr>
      </w:pPr>
    </w:p>
    <w:p>
      <w:pPr>
        <w:jc w:val="both"/>
        <w:rPr>
          <w:rFonts w:hint="eastAsia"/>
          <w:sz w:val="32"/>
          <w:szCs w:val="32"/>
          <w:u w:val="single"/>
          <w:lang w:val="en-US" w:eastAsia="zh-CN"/>
        </w:rPr>
      </w:pPr>
      <w:r>
        <w:rPr>
          <w:rFonts w:hint="eastAsia"/>
          <w:sz w:val="32"/>
          <w:szCs w:val="32"/>
        </w:rPr>
        <w:t>项目名称：</w:t>
      </w:r>
      <w:r>
        <w:rPr>
          <w:rFonts w:hint="eastAsia"/>
          <w:sz w:val="32"/>
          <w:szCs w:val="32"/>
          <w:u w:val="single"/>
          <w:lang w:val="en-US" w:eastAsia="zh-CN"/>
        </w:rPr>
        <w:t>广东省阳春监狱罪犯外诊执勤民警备勤点服务项目</w:t>
      </w:r>
    </w:p>
    <w:p>
      <w:pPr>
        <w:rPr>
          <w:rFonts w:hint="default" w:eastAsiaTheme="minorEastAsia"/>
          <w:sz w:val="32"/>
          <w:szCs w:val="32"/>
          <w:lang w:val="en-US" w:eastAsia="zh-CN"/>
        </w:rPr>
      </w:pPr>
      <w:r>
        <w:rPr>
          <w:rFonts w:hint="eastAsia"/>
          <w:sz w:val="32"/>
          <w:szCs w:val="32"/>
          <w:lang w:eastAsia="zh-CN"/>
        </w:rPr>
        <w:t>采购</w:t>
      </w:r>
      <w:r>
        <w:rPr>
          <w:rFonts w:hint="eastAsia"/>
          <w:sz w:val="32"/>
          <w:szCs w:val="32"/>
          <w:lang w:val="en-US" w:eastAsia="zh-CN"/>
        </w:rPr>
        <w:t>方</w:t>
      </w:r>
      <w:r>
        <w:rPr>
          <w:rFonts w:hint="eastAsia"/>
          <w:sz w:val="32"/>
          <w:szCs w:val="32"/>
        </w:rPr>
        <w:t>式：</w:t>
      </w:r>
      <w:r>
        <w:rPr>
          <w:rFonts w:hint="eastAsia"/>
          <w:sz w:val="32"/>
          <w:szCs w:val="32"/>
          <w:u w:val="single"/>
          <w:lang w:val="en-US" w:eastAsia="zh-CN"/>
        </w:rPr>
        <w:t xml:space="preserve">   谈判采购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0"/>
        <w:rPr>
          <w:rFonts w:hint="eastAsia"/>
        </w:rPr>
      </w:pPr>
    </w:p>
    <w:p>
      <w:pPr>
        <w:rPr>
          <w:rFonts w:hint="eastAsia"/>
          <w:sz w:val="32"/>
          <w:szCs w:val="32"/>
        </w:rPr>
      </w:pPr>
    </w:p>
    <w:p>
      <w:pPr>
        <w:jc w:val="center"/>
        <w:rPr>
          <w:rFonts w:hint="eastAsia"/>
          <w:sz w:val="32"/>
          <w:szCs w:val="32"/>
        </w:rPr>
      </w:pPr>
      <w:r>
        <w:rPr>
          <w:rFonts w:hint="eastAsia"/>
          <w:sz w:val="32"/>
          <w:szCs w:val="32"/>
        </w:rPr>
        <w:t>广东省</w:t>
      </w:r>
      <w:r>
        <w:rPr>
          <w:rFonts w:hint="eastAsia"/>
          <w:sz w:val="32"/>
          <w:szCs w:val="32"/>
          <w:lang w:eastAsia="zh-CN"/>
        </w:rPr>
        <w:t>阳春</w:t>
      </w:r>
      <w:r>
        <w:rPr>
          <w:rFonts w:hint="eastAsia"/>
          <w:sz w:val="32"/>
          <w:szCs w:val="32"/>
        </w:rPr>
        <w:t>监狱</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2025</w:t>
      </w:r>
      <w:r>
        <w:rPr>
          <w:rFonts w:hint="eastAsia"/>
          <w:sz w:val="32"/>
          <w:szCs w:val="32"/>
        </w:rPr>
        <w:t>年</w:t>
      </w:r>
      <w:r>
        <w:rPr>
          <w:rFonts w:hint="eastAsia"/>
          <w:sz w:val="32"/>
          <w:szCs w:val="32"/>
          <w:lang w:val="en-US" w:eastAsia="zh-CN"/>
        </w:rPr>
        <w:t>5</w:t>
      </w:r>
      <w:r>
        <w:rPr>
          <w:rFonts w:hint="eastAsia"/>
          <w:sz w:val="32"/>
          <w:szCs w:val="32"/>
        </w:rPr>
        <w:t>月</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6"/>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一章</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  </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谈判标准</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第二章  </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5</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三章</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 </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响应</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文件格式</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9</w:t>
      </w: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jc w:val="center"/>
        <w:rPr>
          <w:rFonts w:hint="eastAsia"/>
        </w:rPr>
      </w:pPr>
      <w:r>
        <w:rPr>
          <w:rFonts w:hint="eastAsia"/>
          <w:b/>
          <w:bCs/>
          <w:sz w:val="32"/>
          <w:szCs w:val="32"/>
          <w:lang w:val="en-US" w:eastAsia="zh-CN"/>
        </w:rPr>
        <w:t>第一</w:t>
      </w:r>
      <w:bookmarkStart w:id="1" w:name="_GoBack"/>
      <w:bookmarkEnd w:id="1"/>
      <w:r>
        <w:rPr>
          <w:rFonts w:hint="eastAsia"/>
          <w:b/>
          <w:bCs/>
          <w:sz w:val="32"/>
          <w:szCs w:val="32"/>
          <w:lang w:val="en-US" w:eastAsia="zh-CN"/>
        </w:rPr>
        <w:t>章 谈判标准</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谈判采购</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谈判采购</w:t>
      </w:r>
      <w:r>
        <w:rPr>
          <w:rFonts w:hint="eastAsia"/>
        </w:rPr>
        <w:t>的供应商应承担所有与准备和参加</w:t>
      </w:r>
      <w:r>
        <w:rPr>
          <w:rFonts w:hint="eastAsia"/>
          <w:lang w:eastAsia="zh-CN"/>
        </w:rPr>
        <w:t>谈判采购</w:t>
      </w:r>
      <w:r>
        <w:rPr>
          <w:rFonts w:hint="eastAsia"/>
        </w:rPr>
        <w:t>有关的费用，不论</w:t>
      </w:r>
      <w:r>
        <w:rPr>
          <w:rFonts w:hint="eastAsia"/>
          <w:lang w:eastAsia="zh-CN"/>
        </w:rPr>
        <w:t>谈判采购</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供应商需对用户需求书的所有条款进行整体响应</w:t>
      </w:r>
      <w:r>
        <w:rPr>
          <w:rFonts w:hint="eastAsia"/>
          <w:lang w:eastAsia="zh-CN"/>
        </w:rPr>
        <w:t>，</w:t>
      </w:r>
      <w:r>
        <w:rPr>
          <w:rFonts w:hint="eastAsia"/>
          <w:lang w:val="en-US" w:eastAsia="zh-CN"/>
        </w:rPr>
        <w:t>并</w:t>
      </w:r>
      <w:r>
        <w:rPr>
          <w:rFonts w:hint="eastAsia"/>
        </w:rPr>
        <w:t>按</w:t>
      </w:r>
      <w:r>
        <w:rPr>
          <w:rFonts w:hint="eastAsia"/>
          <w:lang w:eastAsia="zh-CN"/>
        </w:rPr>
        <w:t>谈判采购</w:t>
      </w:r>
      <w:r>
        <w:rPr>
          <w:rFonts w:hint="eastAsia"/>
        </w:rPr>
        <w:t>附件的格式填写</w:t>
      </w:r>
      <w:r>
        <w:rPr>
          <w:rFonts w:hint="eastAsia"/>
          <w:lang w:val="en-US" w:eastAsia="zh-CN"/>
        </w:rPr>
        <w:t>响应文件</w:t>
      </w:r>
      <w:r>
        <w:rPr>
          <w:rFonts w:hint="eastAsia"/>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（四）</w:t>
      </w:r>
      <w:r>
        <w:rPr>
          <w:rFonts w:hint="eastAsia"/>
        </w:rPr>
        <w:t>成交供应商因自身原因被取消成交资格，采购人可重新启动采购或顺延推选符合要求的供应商作为成交人；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若本项目</w:t>
      </w:r>
      <w:r>
        <w:rPr>
          <w:rFonts w:hint="eastAsia"/>
          <w:lang w:eastAsia="zh-CN"/>
        </w:rPr>
        <w:t>谈判采购</w:t>
      </w:r>
      <w:r>
        <w:rPr>
          <w:rFonts w:hint="eastAsia"/>
        </w:rPr>
        <w:t>失败，采购人将重新采购，届时采购人有权根据项目具体情况，决定重新采购项目的</w:t>
      </w:r>
      <w:r>
        <w:rPr>
          <w:rFonts w:hint="eastAsia"/>
          <w:lang w:eastAsia="zh-CN"/>
        </w:rPr>
        <w:t>采购</w:t>
      </w:r>
      <w:r>
        <w:rPr>
          <w:rFonts w:hint="eastAsia"/>
          <w:lang w:val="en-US" w:eastAsia="zh-CN"/>
        </w:rPr>
        <w:t>方</w:t>
      </w:r>
      <w:r>
        <w:rPr>
          <w:rFonts w:hint="eastAsia"/>
        </w:rPr>
        <w:t>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六</w:t>
      </w:r>
      <w:r>
        <w:rPr>
          <w:rFonts w:hint="eastAsia"/>
          <w:lang w:eastAsia="zh-CN"/>
        </w:rPr>
        <w:t>）</w:t>
      </w:r>
      <w:r>
        <w:rPr>
          <w:rFonts w:hint="eastAsia"/>
        </w:rPr>
        <w:t>成交供应商若无正当理由恶意放弃成交资格，采购人有权拒绝其参加本项目重新组织的</w:t>
      </w:r>
      <w:r>
        <w:rPr>
          <w:rFonts w:hint="eastAsia"/>
          <w:lang w:eastAsia="zh-CN"/>
        </w:rPr>
        <w:t>谈判采购</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七</w:t>
      </w:r>
      <w:r>
        <w:rPr>
          <w:rFonts w:hint="eastAsia"/>
          <w:lang w:eastAsia="zh-CN"/>
        </w:rPr>
        <w:t>）</w:t>
      </w:r>
      <w:r>
        <w:rPr>
          <w:rFonts w:hint="eastAsia"/>
        </w:rPr>
        <w:t>如采购人在审核或复核参与</w:t>
      </w:r>
      <w:r>
        <w:rPr>
          <w:rFonts w:hint="eastAsia"/>
          <w:lang w:eastAsia="zh-CN"/>
        </w:rPr>
        <w:t>谈判采购</w:t>
      </w:r>
      <w:r>
        <w:rPr>
          <w:rFonts w:hint="eastAsia"/>
        </w:rPr>
        <w:t>的供应商所提交的</w:t>
      </w:r>
      <w:r>
        <w:rPr>
          <w:rFonts w:hint="eastAsia"/>
          <w:lang w:eastAsia="zh-CN"/>
        </w:rPr>
        <w:t>谈判采购</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八</w:t>
      </w:r>
      <w:r>
        <w:rPr>
          <w:rFonts w:hint="eastAsia"/>
          <w:lang w:eastAsia="zh-CN"/>
        </w:rPr>
        <w:t>）</w:t>
      </w:r>
      <w:r>
        <w:rPr>
          <w:rFonts w:hint="eastAsia"/>
        </w:rPr>
        <w:t>参与</w:t>
      </w:r>
      <w:r>
        <w:rPr>
          <w:rFonts w:hint="eastAsia"/>
          <w:lang w:eastAsia="zh-CN"/>
        </w:rPr>
        <w:t>谈判采购</w:t>
      </w:r>
      <w:r>
        <w:rPr>
          <w:rFonts w:hint="eastAsia"/>
        </w:rPr>
        <w:t>的供应商应认真阅读、并充分理解</w:t>
      </w:r>
      <w:r>
        <w:rPr>
          <w:rFonts w:hint="eastAsia"/>
          <w:lang w:eastAsia="zh-CN"/>
        </w:rPr>
        <w:t>谈判采购</w:t>
      </w:r>
      <w:r>
        <w:rPr>
          <w:rFonts w:hint="eastAsia"/>
        </w:rPr>
        <w:t>文件的全部内容（包括所有的补充、修改内容重要事项、格式、条款、服务要求和技术规范、参数及要求等）。供应商没有按照</w:t>
      </w:r>
      <w:r>
        <w:rPr>
          <w:rFonts w:hint="eastAsia"/>
          <w:lang w:eastAsia="zh-CN"/>
        </w:rPr>
        <w:t>谈判采购</w:t>
      </w:r>
      <w:r>
        <w:rPr>
          <w:rFonts w:hint="eastAsia"/>
        </w:rPr>
        <w:t>文件要求提交全部资料，或者所</w:t>
      </w:r>
      <w:r>
        <w:rPr>
          <w:rFonts w:hint="eastAsia"/>
          <w:lang w:val="en-US" w:eastAsia="zh-CN"/>
        </w:rPr>
        <w:t>提供</w:t>
      </w:r>
      <w:r>
        <w:rPr>
          <w:rFonts w:hint="eastAsia"/>
        </w:rPr>
        <w:t>的文件没有对</w:t>
      </w:r>
      <w:r>
        <w:rPr>
          <w:rFonts w:hint="eastAsia"/>
          <w:lang w:eastAsia="zh-CN"/>
        </w:rPr>
        <w:t>谈判采购</w:t>
      </w:r>
      <w:r>
        <w:rPr>
          <w:rFonts w:hint="eastAsia"/>
        </w:rPr>
        <w:t>文件作出响应是供应商的风险，有可能导致其</w:t>
      </w:r>
      <w:r>
        <w:rPr>
          <w:rFonts w:hint="eastAsia"/>
          <w:lang w:eastAsia="zh-CN"/>
        </w:rPr>
        <w:t>谈判采购</w:t>
      </w:r>
      <w:r>
        <w:rPr>
          <w:rFonts w:hint="eastAsia"/>
        </w:rPr>
        <w:t>被拒绝，或被认定为无效</w:t>
      </w:r>
      <w:r>
        <w:rPr>
          <w:rFonts w:hint="eastAsia"/>
          <w:lang w:eastAsia="zh-CN"/>
        </w:rPr>
        <w:t>谈判采购</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九</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谈判采购</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二、响应</w:t>
      </w:r>
      <w:r>
        <w:rPr>
          <w:rFonts w:hint="eastAsia"/>
          <w:b/>
          <w:bCs/>
        </w:rPr>
        <w:t>提交资料</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供应商应根据本公告要求，完整、真实、准确地填写相应</w:t>
      </w:r>
      <w:r>
        <w:rPr>
          <w:rFonts w:hint="eastAsia"/>
          <w:lang w:val="en-US" w:eastAsia="zh-CN"/>
        </w:rPr>
        <w:t>响应文件</w:t>
      </w:r>
      <w:r>
        <w:rPr>
          <w:rFonts w:hint="eastAsia"/>
        </w:rPr>
        <w:t>附件，并对</w:t>
      </w:r>
      <w:r>
        <w:rPr>
          <w:rFonts w:hint="eastAsia"/>
          <w:lang w:eastAsia="zh-CN"/>
        </w:rPr>
        <w:t>谈判采购</w:t>
      </w:r>
      <w:r>
        <w:rPr>
          <w:rFonts w:hint="eastAsia"/>
        </w:rPr>
        <w:t>文件资料承担责任。</w:t>
      </w:r>
    </w:p>
    <w:p>
      <w:pPr>
        <w:pageBreakBefore w:val="0"/>
        <w:kinsoku/>
        <w:wordWrap/>
        <w:overflowPunct/>
        <w:topLinePunct w:val="0"/>
        <w:bidi w:val="0"/>
        <w:spacing w:line="340" w:lineRule="exact"/>
        <w:ind w:left="0" w:leftChars="0" w:firstLine="420" w:firstLineChars="200"/>
        <w:rPr>
          <w:rFonts w:hint="eastAsia" w:asciiTheme="minorEastAsia" w:hAnsiTheme="minorEastAsia" w:eastAsiaTheme="minorEastAsia" w:cstheme="minorEastAsia"/>
          <w:b w:val="0"/>
          <w:bCs w:val="0"/>
          <w:sz w:val="21"/>
          <w:szCs w:val="21"/>
          <w:lang w:eastAsia="zh-CN"/>
        </w:rPr>
      </w:pPr>
      <w:r>
        <w:rPr>
          <w:rFonts w:hint="eastAsia"/>
          <w:lang w:val="en-US" w:eastAsia="zh-CN"/>
        </w:rPr>
        <w:t>（二）供应商应一式一份提交响应文件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w:t>
      </w: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响应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日期等，并注明</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递交</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atLeast"/>
        <w:ind w:left="0" w:leftChars="0" w:firstLine="403" w:firstLineChars="192"/>
        <w:jc w:val="left"/>
        <w:textAlignment w:val="auto"/>
        <w:rPr>
          <w:rFonts w:hint="eastAsia" w:ascii="宋体" w:hAnsi="宋体"/>
          <w:b/>
          <w:bCs w:val="0"/>
          <w:color w:val="auto"/>
          <w:spacing w:val="4"/>
          <w:sz w:val="21"/>
          <w:szCs w:val="21"/>
          <w:u w:val="single"/>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w:t>
      </w:r>
      <w:r>
        <w:rPr>
          <w:rFonts w:hint="eastAsia" w:asciiTheme="minorEastAsia" w:hAnsiTheme="minorEastAsia" w:cstheme="minorEastAsia"/>
          <w:color w:val="000000" w:themeColor="text1"/>
          <w:sz w:val="21"/>
          <w:szCs w:val="21"/>
          <w:lang w:val="en-US" w:eastAsia="zh-CN"/>
          <w14:textFill>
            <w14:solidFill>
              <w14:schemeClr w14:val="tx1"/>
            </w14:solidFill>
          </w14:textFill>
        </w:rPr>
        <w:t>递交文件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截止时间前，将</w:t>
      </w:r>
      <w:r>
        <w:rPr>
          <w:rFonts w:hint="eastAsia" w:asciiTheme="minorEastAsia" w:hAnsiTheme="minorEastAsia" w:cstheme="minorEastAsia"/>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w:t>
      </w:r>
      <w:r>
        <w:rPr>
          <w:rFonts w:hint="eastAsia" w:asciiTheme="minorEastAsia" w:hAnsiTheme="minorEastAsia" w:cstheme="minorEastAsia"/>
          <w:color w:val="000000" w:themeColor="text1"/>
          <w:sz w:val="21"/>
          <w:szCs w:val="21"/>
          <w:lang w:eastAsia="zh-CN"/>
          <w14:textFill>
            <w14:solidFill>
              <w14:schemeClr w14:val="tx1"/>
            </w14:solidFill>
          </w14:textFill>
        </w:rPr>
        <w:t>等资料</w:t>
      </w:r>
      <w:r>
        <w:rPr>
          <w:rFonts w:hint="eastAsia" w:asciiTheme="minorEastAsia" w:hAnsiTheme="minorEastAsia" w:eastAsiaTheme="minorEastAsia" w:cstheme="minorEastAsia"/>
          <w:color w:val="000000" w:themeColor="text1"/>
          <w:sz w:val="21"/>
          <w:szCs w:val="21"/>
          <w14:textFill>
            <w14:solidFill>
              <w14:schemeClr w14:val="tx1"/>
            </w14:solidFill>
          </w14:textFill>
        </w:rPr>
        <w:t>按要求送达</w:t>
      </w:r>
      <w:r>
        <w:rPr>
          <w:rFonts w:hint="eastAsia" w:asciiTheme="minorEastAsia" w:hAnsiTheme="minorEastAsia" w:cstheme="minorEastAsia"/>
          <w:color w:val="000000" w:themeColor="text1"/>
          <w:sz w:val="21"/>
          <w:szCs w:val="21"/>
          <w:lang w:val="en-US" w:eastAsia="zh-CN"/>
          <w14:textFill>
            <w14:solidFill>
              <w14:schemeClr w14:val="tx1"/>
            </w14:solidFill>
          </w14:textFill>
        </w:rPr>
        <w:t>提交</w:t>
      </w:r>
      <w:r>
        <w:rPr>
          <w:rFonts w:hint="eastAsia" w:asciiTheme="minorEastAsia" w:hAnsiTheme="minorEastAsia" w:eastAsiaTheme="minorEastAsia" w:cstheme="minorEastAsia"/>
          <w:color w:val="000000" w:themeColor="text1"/>
          <w:sz w:val="21"/>
          <w:szCs w:val="21"/>
          <w14:textFill>
            <w14:solidFill>
              <w14:schemeClr w14:val="tx1"/>
            </w14:solidFill>
          </w14:textFill>
        </w:rPr>
        <w:t>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，逾时概不受理；</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（四）响应文件截止时间后不得修改响应文件。</w:t>
      </w:r>
    </w:p>
    <w:p>
      <w:pPr>
        <w:pageBreakBefore w:val="0"/>
        <w:kinsoku/>
        <w:wordWrap/>
        <w:overflowPunct/>
        <w:topLinePunct w:val="0"/>
        <w:bidi w:val="0"/>
        <w:spacing w:line="340" w:lineRule="exact"/>
        <w:ind w:left="0" w:leftChars="0" w:firstLine="422" w:firstLineChars="200"/>
        <w:rPr>
          <w:rFonts w:hint="eastAsia"/>
          <w:b/>
          <w:bCs/>
          <w:lang w:val="en-US" w:eastAsia="zh-CN"/>
        </w:rPr>
      </w:pPr>
      <w:r>
        <w:rPr>
          <w:rFonts w:hint="eastAsia"/>
          <w:b/>
          <w:bCs/>
          <w:lang w:val="en-US" w:eastAsia="zh-CN"/>
        </w:rPr>
        <w:t>四、现场谈判</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18" w:firstLineChars="192"/>
        <w:textAlignment w:val="auto"/>
        <w:rPr>
          <w:rFonts w:hint="default" w:ascii="宋体" w:hAnsi="宋体"/>
          <w:spacing w:val="4"/>
          <w:szCs w:val="21"/>
          <w:lang w:val="en-US" w:eastAsia="zh-CN"/>
        </w:rPr>
      </w:pPr>
      <w:r>
        <w:rPr>
          <w:rFonts w:hint="eastAsia" w:ascii="宋体" w:hAnsi="宋体"/>
          <w:b w:val="0"/>
          <w:bCs w:val="0"/>
          <w:spacing w:val="4"/>
          <w:szCs w:val="21"/>
          <w:lang w:val="en-US" w:eastAsia="zh-CN"/>
        </w:rPr>
        <w:t>由我狱组建的</w:t>
      </w:r>
      <w:r>
        <w:rPr>
          <w:rFonts w:hint="eastAsia" w:ascii="宋体" w:hAnsi="宋体" w:eastAsia="宋体" w:cs="宋体"/>
          <w:b/>
          <w:bCs/>
          <w:color w:val="000000" w:themeColor="text1"/>
          <w:szCs w:val="21"/>
          <w:u w:val="single"/>
          <w:lang w:val="en-US" w:eastAsia="zh-CN"/>
          <w14:textFill>
            <w14:solidFill>
              <w14:schemeClr w14:val="tx1"/>
            </w14:solidFill>
          </w14:textFill>
        </w:rPr>
        <w:t>广东省阳春监狱罪犯外诊执勤民警备勤点服务项目</w:t>
      </w:r>
      <w:r>
        <w:rPr>
          <w:rFonts w:hint="eastAsia" w:ascii="宋体" w:hAnsi="宋体"/>
          <w:spacing w:val="4"/>
          <w:szCs w:val="21"/>
          <w:lang w:val="en-US" w:eastAsia="zh-CN"/>
        </w:rPr>
        <w:t>谈判小组对报名供应商进行现场谈判，根据相关罪犯外诊管理要求及项目实际需求，将针对供应商的酒店住宿条件、内部管理、周边环境、服务标准及住宿房间价格等进行谈判。响应供应商参加现场谈判代表必须是法定代表人或授权委托人。</w:t>
      </w:r>
    </w:p>
    <w:p>
      <w:pPr>
        <w:pageBreakBefore w:val="0"/>
        <w:kinsoku/>
        <w:wordWrap/>
        <w:overflowPunct/>
        <w:topLinePunct w:val="0"/>
        <w:bidi w:val="0"/>
        <w:spacing w:line="340" w:lineRule="exact"/>
        <w:ind w:left="0" w:leftChars="0" w:firstLine="422" w:firstLineChars="200"/>
        <w:rPr>
          <w:rFonts w:hint="eastAsia"/>
          <w:b/>
          <w:bCs/>
          <w:lang w:val="en-US" w:eastAsia="zh-CN"/>
        </w:rPr>
      </w:pPr>
      <w:r>
        <w:rPr>
          <w:rFonts w:hint="eastAsia"/>
          <w:b/>
          <w:bCs/>
          <w:lang w:val="en-US" w:eastAsia="zh-CN"/>
        </w:rPr>
        <w:t>五、推荐成交候选人</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default" w:asciiTheme="minorEastAsia" w:hAnsiTheme="minorEastAsia" w:eastAsiaTheme="minorEastAsia" w:cstheme="minorEastAsia"/>
          <w:sz w:val="21"/>
          <w:szCs w:val="21"/>
          <w:lang w:val="en-US" w:eastAsia="zh-CN"/>
        </w:rPr>
      </w:pPr>
      <w:r>
        <w:rPr>
          <w:rFonts w:hint="eastAsia" w:ascii="宋体" w:hAnsi="宋体"/>
          <w:spacing w:val="4"/>
          <w:szCs w:val="21"/>
          <w:lang w:val="en-US" w:eastAsia="zh-CN"/>
        </w:rPr>
        <w:t>谈判小组根据项目相关管理要求及供应商最终谈判结果，推荐成交供应商为1家</w:t>
      </w:r>
      <w:r>
        <w:rPr>
          <w:rFonts w:hint="eastAsia" w:asciiTheme="minorEastAsia" w:hAnsiTheme="minorEastAsia" w:cstheme="minorEastAsia"/>
          <w:b w:val="0"/>
          <w:bCs w:val="0"/>
          <w:sz w:val="21"/>
          <w:szCs w:val="21"/>
          <w:lang w:val="en-US"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供应商报价</w:t>
      </w:r>
      <w:r>
        <w:rPr>
          <w:rFonts w:hint="eastAsia" w:ascii="宋体" w:hAnsi="宋体"/>
          <w:spacing w:val="4"/>
          <w:szCs w:val="21"/>
          <w:lang w:val="en-US" w:eastAsia="zh-CN"/>
        </w:rPr>
        <w:t>高于基准价的</w:t>
      </w:r>
      <w:r>
        <w:rPr>
          <w:rFonts w:hint="eastAsia" w:ascii="宋体" w:hAnsi="宋体"/>
          <w:spacing w:val="4"/>
          <w:szCs w:val="21"/>
          <w:lang w:eastAsia="zh-CN"/>
        </w:rPr>
        <w:t>，</w:t>
      </w:r>
      <w:r>
        <w:rPr>
          <w:rFonts w:hint="eastAsia"/>
        </w:rPr>
        <w:t>将被视为无效</w:t>
      </w:r>
      <w:r>
        <w:rPr>
          <w:rFonts w:hint="eastAsia"/>
          <w:lang w:val="en-US" w:eastAsia="zh-CN"/>
        </w:rPr>
        <w:t>响应；</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谈判采购</w:t>
      </w:r>
      <w:r>
        <w:rPr>
          <w:rFonts w:hint="eastAsia"/>
        </w:rPr>
        <w:t>文件要求等相关规定提供符合要求的资质文件，将被视为无效</w:t>
      </w:r>
      <w:r>
        <w:rPr>
          <w:rFonts w:hint="eastAsia"/>
          <w:lang w:val="en-US" w:eastAsia="zh-CN"/>
        </w:rPr>
        <w:t>响应</w:t>
      </w:r>
      <w:r>
        <w:rPr>
          <w:rFonts w:hint="eastAsia"/>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lang w:val="en-US" w:eastAsia="zh-CN"/>
        </w:rPr>
        <w:t>响应文件有</w:t>
      </w:r>
      <w:r>
        <w:rPr>
          <w:rFonts w:hint="eastAsia"/>
        </w:rPr>
        <w:t>供应商落款的报价文件必须加盖供应商公章，否则视为无效报价；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四</w:t>
      </w:r>
      <w:r>
        <w:rPr>
          <w:rFonts w:hint="eastAsia"/>
          <w:lang w:eastAsia="zh-CN"/>
        </w:rPr>
        <w:t>）</w:t>
      </w:r>
      <w:r>
        <w:rPr>
          <w:rFonts w:hint="eastAsia" w:asciiTheme="minorEastAsia" w:hAnsiTheme="minorEastAsia" w:cstheme="minorEastAsia"/>
          <w:color w:val="000000" w:themeColor="text1"/>
          <w:sz w:val="21"/>
          <w:szCs w:val="21"/>
          <w:lang w:val="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w:t>
      </w:r>
      <w:r>
        <w:rPr>
          <w:rFonts w:hint="eastAsia" w:asciiTheme="minorEastAsia" w:hAnsiTheme="minorEastAsia" w:cstheme="minorEastAsia"/>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五</w:t>
      </w:r>
      <w:r>
        <w:rPr>
          <w:rFonts w:hint="eastAsia"/>
          <w:lang w:eastAsia="zh-CN"/>
        </w:rPr>
        <w:t>）</w:t>
      </w:r>
      <w:r>
        <w:rPr>
          <w:rFonts w:hint="eastAsia"/>
        </w:rPr>
        <w:t>按有关法律、法规、规章属于</w:t>
      </w:r>
      <w:r>
        <w:rPr>
          <w:rFonts w:hint="eastAsia"/>
          <w:lang w:val="en-US" w:eastAsia="zh-CN"/>
        </w:rPr>
        <w:t>响应</w:t>
      </w:r>
      <w:r>
        <w:rPr>
          <w:rFonts w:hint="eastAsia"/>
        </w:rPr>
        <w:t>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有下列情形之一的，视为串通</w:t>
      </w:r>
      <w:r>
        <w:rPr>
          <w:rFonts w:hint="eastAsia"/>
          <w:lang w:eastAsia="zh-CN"/>
        </w:rPr>
        <w:t>谈判采购</w:t>
      </w:r>
      <w:r>
        <w:rPr>
          <w:rFonts w:hint="eastAsia"/>
        </w:rPr>
        <w:t>，其</w:t>
      </w:r>
      <w:r>
        <w:rPr>
          <w:rFonts w:hint="eastAsia"/>
          <w:lang w:val="en-US" w:eastAsia="zh-CN"/>
        </w:rPr>
        <w:t>响应</w:t>
      </w:r>
      <w:r>
        <w:rPr>
          <w:rFonts w:hint="eastAsia"/>
        </w:rPr>
        <w:t>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谈判采购</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谈判采购</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七、</w:t>
      </w:r>
      <w:r>
        <w:rPr>
          <w:rFonts w:hint="eastAsia"/>
          <w:b/>
          <w:bCs/>
          <w:lang w:eastAsia="zh-CN"/>
        </w:rPr>
        <w:t>谈判采购</w:t>
      </w:r>
      <w:r>
        <w:rPr>
          <w:rFonts w:hint="eastAsia"/>
          <w:b/>
          <w:bCs/>
        </w:rPr>
        <w:t>活动失败</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ascii="宋体" w:hAnsi="宋体" w:cs="宋体"/>
          <w:szCs w:val="21"/>
          <w:lang w:eastAsia="zh-CN"/>
        </w:rPr>
        <w:t>没有</w:t>
      </w:r>
      <w:r>
        <w:rPr>
          <w:rFonts w:hint="eastAsia"/>
        </w:rPr>
        <w:t>符合报名资质的</w:t>
      </w:r>
      <w:r>
        <w:rPr>
          <w:rFonts w:hint="eastAsia"/>
          <w:lang w:eastAsia="zh-CN"/>
        </w:rPr>
        <w:t>供应商参与报名</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（二）</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cstheme="minorEastAsia"/>
          <w:color w:val="000000" w:themeColor="text1"/>
          <w:sz w:val="21"/>
          <w:szCs w:val="21"/>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cstheme="minorEastAsia"/>
          <w:color w:val="000000" w:themeColor="text1"/>
          <w:sz w:val="21"/>
          <w:szCs w:val="21"/>
          <w:lang w:eastAsia="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w:t>
      </w:r>
      <w:r>
        <w:rPr>
          <w:rFonts w:hint="eastAsia" w:asciiTheme="minorEastAsia" w:hAnsiTheme="minorEastAsia" w:cstheme="minorEastAsia"/>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文件及相关澄清材料，均作为合同订立的依据。对报价文件及澄清文件中出现歧义、不确定的内容等解释均以采购人的理解确认为准。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lang w:val="en-US" w:eastAsia="zh-CN"/>
        </w:rPr>
      </w:pPr>
    </w:p>
    <w:p>
      <w:pPr>
        <w:pStyle w:val="11"/>
        <w:rPr>
          <w:rFonts w:hint="eastAsia"/>
          <w:b/>
          <w:bCs/>
          <w:sz w:val="32"/>
          <w:szCs w:val="32"/>
          <w:lang w:val="en-US" w:eastAsia="zh-CN"/>
        </w:rPr>
      </w:pPr>
    </w:p>
    <w:p>
      <w:pPr>
        <w:pStyle w:val="11"/>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keepLines w:val="0"/>
        <w:pageBreakBefore w:val="0"/>
        <w:kinsoku/>
        <w:wordWrap/>
        <w:overflowPunct/>
        <w:topLinePunct w:val="0"/>
        <w:autoSpaceDE/>
        <w:autoSpaceDN/>
        <w:bidi w:val="0"/>
        <w:adjustRightInd/>
        <w:snapToGrid/>
        <w:spacing w:line="300" w:lineRule="exact"/>
        <w:ind w:left="0" w:leftChars="0" w:firstLine="422" w:firstLineChars="200"/>
        <w:textAlignment w:val="auto"/>
        <w:rPr>
          <w:rFonts w:hint="eastAsia"/>
          <w:b/>
          <w:bCs/>
        </w:rPr>
      </w:pP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92"/>
        <w:textAlignment w:val="auto"/>
        <w:rPr>
          <w:rFonts w:hint="eastAsia" w:ascii="宋体" w:hAnsi="宋体"/>
          <w:spacing w:val="4"/>
          <w:szCs w:val="21"/>
          <w:lang w:val="en-US" w:eastAsia="zh-CN"/>
        </w:rPr>
      </w:pPr>
      <w:r>
        <w:rPr>
          <w:rFonts w:hint="eastAsia" w:ascii="宋体" w:hAnsi="宋体"/>
          <w:b/>
          <w:bCs/>
          <w:spacing w:val="4"/>
          <w:szCs w:val="21"/>
          <w:lang w:val="en-US" w:eastAsia="zh-CN"/>
        </w:rPr>
        <w:t>一、</w:t>
      </w:r>
      <w:r>
        <w:rPr>
          <w:rFonts w:hint="eastAsia" w:ascii="宋体" w:hAnsi="宋体"/>
          <w:b/>
          <w:bCs/>
          <w:spacing w:val="4"/>
          <w:szCs w:val="21"/>
          <w:lang w:val="zh-CN" w:eastAsia="zh-CN"/>
        </w:rPr>
        <w:t>项目概况：</w:t>
      </w:r>
      <w:r>
        <w:rPr>
          <w:rFonts w:hint="eastAsia" w:ascii="宋体" w:hAnsi="宋体"/>
          <w:b w:val="0"/>
          <w:bCs w:val="0"/>
          <w:spacing w:val="4"/>
          <w:szCs w:val="21"/>
          <w:lang w:val="zh-CN" w:eastAsia="zh-CN"/>
        </w:rPr>
        <w:t>为</w:t>
      </w:r>
      <w:r>
        <w:rPr>
          <w:rFonts w:hint="eastAsia" w:ascii="仿宋_GB2312"/>
          <w:strike w:val="0"/>
          <w:dstrike w:val="0"/>
          <w:color w:val="000000"/>
          <w:highlight w:val="none"/>
          <w:u w:val="none"/>
          <w:lang w:val="en-US" w:eastAsia="zh-CN"/>
        </w:rPr>
        <w:t>确保广东省阳春监狱罪犯外诊监管安全工作，</w:t>
      </w:r>
      <w:r>
        <w:rPr>
          <w:rFonts w:hint="eastAsia" w:ascii="仿宋_GB2312"/>
          <w:strike w:val="0"/>
          <w:dstrike w:val="0"/>
          <w:color w:val="000000"/>
          <w:highlight w:val="none"/>
          <w:u w:val="none"/>
        </w:rPr>
        <w:t>解决</w:t>
      </w:r>
      <w:r>
        <w:rPr>
          <w:rFonts w:hint="eastAsia" w:ascii="仿宋_GB2312"/>
          <w:strike w:val="0"/>
          <w:dstrike w:val="0"/>
          <w:color w:val="000000"/>
          <w:highlight w:val="none"/>
          <w:u w:val="none"/>
          <w:lang w:val="en-US" w:eastAsia="zh-CN"/>
        </w:rPr>
        <w:t>执勤民</w:t>
      </w:r>
      <w:r>
        <w:rPr>
          <w:rFonts w:hint="eastAsia" w:ascii="仿宋_GB2312"/>
          <w:strike w:val="0"/>
          <w:dstrike w:val="0"/>
          <w:color w:val="000000"/>
          <w:highlight w:val="none"/>
          <w:u w:val="none"/>
        </w:rPr>
        <w:t>警</w:t>
      </w:r>
      <w:r>
        <w:rPr>
          <w:rFonts w:hint="eastAsia" w:ascii="仿宋_GB2312"/>
          <w:strike w:val="0"/>
          <w:dstrike w:val="0"/>
          <w:color w:val="000000"/>
          <w:highlight w:val="none"/>
          <w:u w:val="none"/>
          <w:lang w:val="en-US" w:eastAsia="zh-CN"/>
        </w:rPr>
        <w:t>在阳春市人民</w:t>
      </w:r>
      <w:r>
        <w:rPr>
          <w:rFonts w:hint="eastAsia" w:ascii="仿宋_GB2312"/>
          <w:strike w:val="0"/>
          <w:dstrike w:val="0"/>
          <w:color w:val="000000"/>
          <w:highlight w:val="none"/>
          <w:u w:val="none"/>
        </w:rPr>
        <w:t>医院值班期间</w:t>
      </w:r>
      <w:r>
        <w:rPr>
          <w:rFonts w:hint="eastAsia" w:ascii="仿宋_GB2312"/>
          <w:strike w:val="0"/>
          <w:dstrike w:val="0"/>
          <w:color w:val="000000"/>
          <w:highlight w:val="none"/>
          <w:u w:val="none"/>
          <w:lang w:val="en-US" w:eastAsia="zh-CN"/>
        </w:rPr>
        <w:t>备勤，结合有关管理规定及我狱实际情况在阳春市区内采购一家酒店作为执勤民警备勤点</w:t>
      </w:r>
      <w:r>
        <w:rPr>
          <w:rFonts w:hint="eastAsia" w:ascii="宋体" w:hAnsi="宋体"/>
          <w:spacing w:val="4"/>
          <w:szCs w:val="21"/>
          <w:lang w:val="en-US" w:eastAsia="zh-CN"/>
        </w:rPr>
        <w:t>，按程序选取合作服务供应商。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val="en-US" w:eastAsia="zh-CN"/>
        </w:rPr>
        <w:t>本项目</w:t>
      </w:r>
      <w:r>
        <w:rPr>
          <w:rFonts w:hint="eastAsia" w:ascii="宋体" w:hAnsi="宋体"/>
          <w:spacing w:val="4"/>
          <w:szCs w:val="21"/>
          <w:lang w:eastAsia="zh-CN"/>
        </w:rPr>
        <w:t>由供应商提供广东省阳春监狱罪犯外诊期间执勤民警备勤点的住宿服务功能。</w:t>
      </w:r>
    </w:p>
    <w:p>
      <w:pPr>
        <w:keepNext w:val="0"/>
        <w:keepLines w:val="0"/>
        <w:pageBreakBefore w:val="0"/>
        <w:kinsoku/>
        <w:wordWrap/>
        <w:overflowPunct/>
        <w:topLinePunct w:val="0"/>
        <w:autoSpaceDE/>
        <w:autoSpaceDN/>
        <w:bidi w:val="0"/>
        <w:adjustRightInd/>
        <w:snapToGrid/>
        <w:spacing w:line="300" w:lineRule="exact"/>
        <w:ind w:left="0" w:leftChars="0" w:firstLine="403" w:firstLineChars="192"/>
        <w:textAlignment w:val="auto"/>
        <w:rPr>
          <w:rFonts w:hint="default" w:ascii="宋体" w:hAnsi="宋体"/>
          <w:spacing w:val="4"/>
          <w:szCs w:val="21"/>
          <w:lang w:val="en-US" w:eastAsia="zh-CN"/>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w:t>
      </w:r>
      <w:r>
        <w:rPr>
          <w:rFonts w:hint="eastAsia" w:asciiTheme="minorEastAsia" w:hAnsiTheme="minorEastAsia" w:cstheme="minorEastAsia"/>
          <w:b/>
          <w:bCs/>
          <w:color w:val="000000" w:themeColor="text1"/>
          <w:sz w:val="21"/>
          <w:szCs w:val="21"/>
          <w:u w:val="single"/>
          <w:lang w:val="en-US" w:eastAsia="zh-CN"/>
          <w14:textFill>
            <w14:solidFill>
              <w14:schemeClr w14:val="tx1"/>
            </w14:solidFill>
          </w14:textFill>
        </w:rPr>
        <w:t>本项目</w:t>
      </w:r>
      <w:r>
        <w:rPr>
          <w:rFonts w:hint="eastAsia" w:ascii="宋体" w:hAnsi="宋体"/>
          <w:b/>
          <w:bCs/>
          <w:spacing w:val="4"/>
          <w:szCs w:val="21"/>
          <w:u w:val="single"/>
          <w:lang w:val="en-US" w:eastAsia="zh-CN"/>
        </w:rPr>
        <w:t>采购人不进行投入建设，不承担任何成本。</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92"/>
        <w:textAlignment w:val="auto"/>
        <w:rPr>
          <w:rFonts w:hint="eastAsia" w:ascii="宋体" w:hAnsi="宋体"/>
          <w:b/>
          <w:bCs/>
          <w:spacing w:val="4"/>
          <w:szCs w:val="21"/>
          <w:lang w:val="zh-CN" w:eastAsia="zh-CN"/>
        </w:rPr>
      </w:pPr>
      <w:r>
        <w:rPr>
          <w:rFonts w:hint="eastAsia" w:ascii="宋体" w:hAnsi="宋体"/>
          <w:b/>
          <w:bCs/>
          <w:spacing w:val="4"/>
          <w:szCs w:val="21"/>
          <w:lang w:val="zh-CN" w:eastAsia="zh-CN"/>
        </w:rPr>
        <w:t>二、预算金额</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1年预算总金额为人民币130000.00元，大写：壹拾叁万元整。</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92"/>
        <w:textAlignment w:val="auto"/>
        <w:rPr>
          <w:rFonts w:hint="eastAsia" w:ascii="宋体" w:hAnsi="宋体"/>
          <w:b/>
          <w:bCs/>
          <w:spacing w:val="4"/>
          <w:szCs w:val="21"/>
          <w:lang w:val="en-US" w:eastAsia="zh-CN"/>
        </w:rPr>
      </w:pPr>
      <w:r>
        <w:rPr>
          <w:rFonts w:hint="eastAsia" w:ascii="宋体" w:hAnsi="宋体"/>
          <w:b/>
          <w:bCs/>
          <w:spacing w:val="4"/>
          <w:szCs w:val="21"/>
          <w:lang w:val="en-US" w:eastAsia="zh-CN"/>
        </w:rPr>
        <w:t>三、</w:t>
      </w:r>
      <w:r>
        <w:rPr>
          <w:rFonts w:hint="eastAsia" w:ascii="宋体" w:hAnsi="宋体"/>
          <w:b/>
          <w:bCs/>
          <w:spacing w:val="4"/>
          <w:szCs w:val="21"/>
          <w:lang w:val="zh-CN" w:eastAsia="zh-CN"/>
        </w:rPr>
        <w:t>标的数量</w:t>
      </w:r>
      <w:r>
        <w:rPr>
          <w:rFonts w:hint="eastAsia" w:ascii="宋体" w:hAnsi="宋体"/>
          <w:b/>
          <w:bCs/>
          <w:spacing w:val="4"/>
          <w:szCs w:val="21"/>
          <w:lang w:val="en-US" w:eastAsia="zh-CN"/>
        </w:rPr>
        <w:t>及规格要求</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（一）合同期：1年（具体终止时间以达到采购预算总金额或截止日期两者先到为准）。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（二）房间类型为标准双人间，每日房间数量为3间（具体数量按采购人实际入住人数、天数结算）。</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（三）</w:t>
      </w:r>
      <w:r>
        <w:rPr>
          <w:rFonts w:hint="eastAsia" w:ascii="宋体" w:hAnsi="宋体" w:cs="宋体"/>
          <w:szCs w:val="21"/>
        </w:rPr>
        <w:t>供应商的酒店需位于</w:t>
      </w:r>
      <w:r>
        <w:rPr>
          <w:rFonts w:hint="eastAsia" w:ascii="宋体" w:hAnsi="宋体" w:cs="宋体"/>
          <w:szCs w:val="21"/>
          <w:lang w:val="en-US" w:eastAsia="zh-CN"/>
        </w:rPr>
        <w:t>阳春市</w:t>
      </w:r>
      <w:r>
        <w:rPr>
          <w:rFonts w:hint="eastAsia" w:ascii="宋体" w:hAnsi="宋体" w:cs="宋体"/>
          <w:szCs w:val="21"/>
        </w:rPr>
        <w:t>内</w:t>
      </w:r>
      <w:r>
        <w:rPr>
          <w:rFonts w:hint="eastAsia" w:ascii="宋体" w:hAnsi="宋体" w:cs="宋体"/>
          <w:szCs w:val="21"/>
          <w:lang w:eastAsia="zh-CN"/>
        </w:rPr>
        <w:t>，</w:t>
      </w:r>
      <w:r>
        <w:rPr>
          <w:rFonts w:hint="eastAsia" w:ascii="宋体" w:hAnsi="宋体" w:cs="宋体"/>
          <w:szCs w:val="21"/>
        </w:rPr>
        <w:t>交通便利、布局合理</w:t>
      </w:r>
      <w:r>
        <w:rPr>
          <w:rFonts w:hint="eastAsia" w:ascii="宋体" w:hAnsi="宋体" w:cs="宋体"/>
          <w:szCs w:val="21"/>
          <w:lang w:eastAsia="zh-CN"/>
        </w:rPr>
        <w:t>，</w:t>
      </w:r>
      <w:r>
        <w:rPr>
          <w:rFonts w:hint="eastAsia" w:ascii="宋体" w:hAnsi="宋体" w:cs="宋体"/>
          <w:szCs w:val="21"/>
        </w:rPr>
        <w:t>有空调设施，各区域通风良好</w:t>
      </w:r>
      <w:r>
        <w:rPr>
          <w:rFonts w:hint="eastAsia" w:ascii="宋体" w:hAnsi="宋体" w:cs="宋体"/>
          <w:szCs w:val="21"/>
          <w:lang w:eastAsia="zh-CN"/>
        </w:rPr>
        <w:t>，</w:t>
      </w:r>
      <w:r>
        <w:rPr>
          <w:rFonts w:hint="eastAsia" w:ascii="宋体" w:hAnsi="宋体"/>
          <w:kern w:val="0"/>
          <w:szCs w:val="21"/>
        </w:rPr>
        <w:t>设施设备养护良好，达到整洁、卫生和有效</w:t>
      </w:r>
      <w:r>
        <w:rPr>
          <w:rFonts w:hint="eastAsia" w:ascii="宋体" w:hAnsi="宋体"/>
          <w:kern w:val="0"/>
          <w:szCs w:val="21"/>
          <w:lang w:eastAsia="zh-CN"/>
        </w:rPr>
        <w:t>，</w:t>
      </w:r>
      <w:r>
        <w:rPr>
          <w:rFonts w:hint="eastAsia" w:ascii="宋体" w:hAnsi="宋体" w:cs="宋体"/>
          <w:kern w:val="0"/>
          <w:szCs w:val="21"/>
        </w:rPr>
        <w:t>建筑设施、住宿、停车场等服务场所和运营管理应符合</w:t>
      </w:r>
      <w:r>
        <w:rPr>
          <w:rFonts w:hint="eastAsia" w:ascii="宋体" w:hAnsi="宋体"/>
          <w:spacing w:val="4"/>
          <w:szCs w:val="21"/>
          <w:lang w:val="en-US" w:eastAsia="zh-CN"/>
        </w:rPr>
        <w:t>安全、消防、卫生、环境保护等国家有关法规和标准。</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eastAsiaTheme="minorEastAsia"/>
          <w:spacing w:val="4"/>
          <w:szCs w:val="21"/>
          <w:lang w:val="en-US" w:eastAsia="zh-CN"/>
        </w:rPr>
      </w:pPr>
      <w:r>
        <w:rPr>
          <w:rFonts w:hint="eastAsia" w:ascii="宋体" w:hAnsi="宋体"/>
          <w:spacing w:val="4"/>
          <w:szCs w:val="21"/>
          <w:lang w:val="en-US" w:eastAsia="zh-CN"/>
        </w:rPr>
        <w:t>（四）</w:t>
      </w:r>
      <w:r>
        <w:rPr>
          <w:rFonts w:ascii="宋体" w:hAnsi="宋体"/>
          <w:sz w:val="21"/>
          <w:szCs w:val="21"/>
        </w:rPr>
        <w:t>装修良好，有软垫床、桌、椅、床头柜等配套家具，照明充足</w:t>
      </w:r>
      <w:r>
        <w:rPr>
          <w:rFonts w:hint="eastAsia" w:ascii="宋体" w:hAnsi="宋体"/>
          <w:sz w:val="21"/>
          <w:szCs w:val="21"/>
          <w:lang w:eastAsia="zh-CN"/>
        </w:rPr>
        <w:t>，</w:t>
      </w:r>
      <w:r>
        <w:rPr>
          <w:rFonts w:hint="eastAsia" w:ascii="宋体" w:hAnsi="宋体"/>
          <w:sz w:val="21"/>
          <w:szCs w:val="21"/>
        </w:rPr>
        <w:t>客房免费无线网络</w:t>
      </w:r>
      <w:r>
        <w:rPr>
          <w:rFonts w:hint="eastAsia" w:ascii="宋体" w:hAnsi="宋体"/>
          <w:sz w:val="21"/>
          <w:szCs w:val="21"/>
          <w:lang w:eastAsia="zh-CN"/>
        </w:rPr>
        <w:t>，</w:t>
      </w:r>
      <w:r>
        <w:rPr>
          <w:rFonts w:hint="eastAsia" w:ascii="宋体" w:hAnsi="宋体"/>
          <w:sz w:val="21"/>
          <w:szCs w:val="21"/>
        </w:rPr>
        <w:t>卫生间装有抽水马桶、梳妆台(配备面盆、梳妆镜)、浴缸或淋浴</w:t>
      </w:r>
      <w:r>
        <w:rPr>
          <w:rFonts w:hint="eastAsia" w:ascii="宋体" w:hAnsi="宋体"/>
          <w:sz w:val="21"/>
          <w:szCs w:val="21"/>
          <w:lang w:eastAsia="zh-CN"/>
        </w:rPr>
        <w:t>，提供</w:t>
      </w:r>
      <w:r>
        <w:rPr>
          <w:rFonts w:hint="eastAsia" w:ascii="宋体" w:hAnsi="宋体"/>
          <w:sz w:val="21"/>
          <w:szCs w:val="21"/>
        </w:rPr>
        <w:t>24小时热水及冷暖空调</w:t>
      </w:r>
      <w:r>
        <w:rPr>
          <w:rFonts w:hint="eastAsia" w:ascii="宋体" w:hAnsi="宋体"/>
          <w:sz w:val="21"/>
          <w:szCs w:val="21"/>
          <w:lang w:eastAsia="zh-CN"/>
        </w:rPr>
        <w:t>，并</w:t>
      </w:r>
      <w:r>
        <w:rPr>
          <w:rFonts w:hint="eastAsia" w:ascii="宋体" w:hAnsi="宋体"/>
          <w:sz w:val="21"/>
          <w:szCs w:val="21"/>
        </w:rPr>
        <w:t>采取有效的防滑措施。有良好的照明，有良好的排风系统或排风器</w:t>
      </w:r>
      <w:r>
        <w:rPr>
          <w:rFonts w:hint="eastAsia" w:ascii="宋体" w:hAnsi="宋体"/>
          <w:sz w:val="21"/>
          <w:szCs w:val="21"/>
          <w:lang w:eastAsia="zh-CN"/>
        </w:rPr>
        <w:t>，</w:t>
      </w:r>
      <w:r>
        <w:rPr>
          <w:rFonts w:hint="eastAsia" w:ascii="宋体" w:hAnsi="宋体"/>
          <w:sz w:val="21"/>
          <w:szCs w:val="21"/>
        </w:rPr>
        <w:t>有防盗装置和安全通道，在显著位置张贴应急疏散图及相关说明</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（五）酒店内无黄赌毒行为。</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92"/>
        <w:textAlignment w:val="auto"/>
        <w:rPr>
          <w:rFonts w:hint="eastAsia" w:ascii="宋体" w:hAnsi="宋体"/>
          <w:b/>
          <w:bCs/>
          <w:spacing w:val="4"/>
          <w:szCs w:val="21"/>
          <w:lang w:val="en-US" w:eastAsia="zh-CN"/>
        </w:rPr>
      </w:pPr>
      <w:r>
        <w:rPr>
          <w:rFonts w:hint="eastAsia" w:ascii="宋体" w:hAnsi="宋体"/>
          <w:b/>
          <w:bCs/>
          <w:spacing w:val="4"/>
          <w:szCs w:val="21"/>
          <w:lang w:val="en-US" w:eastAsia="zh-CN"/>
        </w:rPr>
        <w:t>四、服务标准</w:t>
      </w:r>
    </w:p>
    <w:p>
      <w:pPr>
        <w:keepNext w:val="0"/>
        <w:keepLines w:val="0"/>
        <w:pageBreakBefore w:val="0"/>
        <w:kinsoku/>
        <w:wordWrap/>
        <w:overflowPunct/>
        <w:topLinePunct w:val="0"/>
        <w:autoSpaceDE/>
        <w:autoSpaceDN/>
        <w:bidi w:val="0"/>
        <w:adjustRightInd/>
        <w:snapToGrid/>
        <w:spacing w:line="300" w:lineRule="exact"/>
        <w:ind w:left="0" w:leftChars="0" w:firstLine="403" w:firstLineChars="192"/>
        <w:textAlignment w:val="auto"/>
        <w:rPr>
          <w:rFonts w:hint="eastAsia"/>
          <w:lang w:val="en-US" w:eastAsia="zh-CN"/>
        </w:rPr>
      </w:pPr>
      <w:r>
        <w:rPr>
          <w:rFonts w:hint="eastAsia"/>
          <w:lang w:val="en-US" w:eastAsia="zh-CN"/>
        </w:rPr>
        <w:t>（一）酒店常年预留房间，随时能提供房间入住。</w:t>
      </w:r>
    </w:p>
    <w:p>
      <w:pPr>
        <w:keepNext w:val="0"/>
        <w:keepLines w:val="0"/>
        <w:pageBreakBefore w:val="0"/>
        <w:kinsoku/>
        <w:wordWrap/>
        <w:overflowPunct/>
        <w:topLinePunct w:val="0"/>
        <w:autoSpaceDE/>
        <w:autoSpaceDN/>
        <w:bidi w:val="0"/>
        <w:adjustRightInd/>
        <w:snapToGrid/>
        <w:spacing w:line="300" w:lineRule="exact"/>
        <w:ind w:left="0" w:leftChars="0" w:firstLine="403" w:firstLineChars="192"/>
        <w:textAlignment w:val="auto"/>
        <w:rPr>
          <w:rFonts w:hint="eastAsia" w:ascii="宋体" w:hAnsi="宋体"/>
          <w:kern w:val="0"/>
          <w:szCs w:val="21"/>
          <w:lang w:val="en-US" w:eastAsia="zh-CN"/>
        </w:rPr>
      </w:pPr>
      <w:r>
        <w:rPr>
          <w:rFonts w:hint="eastAsia" w:ascii="宋体" w:hAnsi="宋体"/>
          <w:kern w:val="0"/>
          <w:szCs w:val="21"/>
          <w:lang w:val="en-US" w:eastAsia="zh-CN"/>
        </w:rPr>
        <w:t>（二）</w:t>
      </w:r>
      <w:r>
        <w:rPr>
          <w:rFonts w:hint="eastAsia" w:ascii="宋体" w:hAnsi="宋体"/>
          <w:kern w:val="0"/>
          <w:szCs w:val="21"/>
        </w:rPr>
        <w:t>总服务台24小时有工作人员提供接待、问询等服务</w:t>
      </w:r>
      <w:r>
        <w:rPr>
          <w:rFonts w:hint="eastAsia" w:ascii="宋体" w:hAnsi="宋体"/>
          <w:kern w:val="0"/>
          <w:szCs w:val="21"/>
          <w:lang w:eastAsia="zh-CN"/>
        </w:rPr>
        <w:t>，</w:t>
      </w:r>
      <w:r>
        <w:rPr>
          <w:rFonts w:hint="eastAsia" w:ascii="宋体" w:hAnsi="宋体"/>
          <w:kern w:val="0"/>
          <w:szCs w:val="21"/>
          <w:lang w:val="en-US" w:eastAsia="zh-CN"/>
        </w:rPr>
        <w:t>免费延迟14:00后退房。</w:t>
      </w:r>
    </w:p>
    <w:p>
      <w:pPr>
        <w:pStyle w:val="2"/>
        <w:rPr>
          <w:rFonts w:hint="eastAsia" w:ascii="宋体" w:hAnsi="宋体" w:eastAsiaTheme="minorEastAsia" w:cstheme="minorBidi"/>
          <w:kern w:val="0"/>
          <w:sz w:val="21"/>
          <w:szCs w:val="21"/>
          <w:lang w:val="en-US" w:eastAsia="zh-CN" w:bidi="ar-SA"/>
        </w:rPr>
      </w:pPr>
      <w:r>
        <w:rPr>
          <w:rFonts w:hint="eastAsia" w:ascii="宋体" w:hAnsi="宋体" w:eastAsiaTheme="minorEastAsia" w:cstheme="minorBidi"/>
          <w:kern w:val="0"/>
          <w:sz w:val="21"/>
          <w:szCs w:val="21"/>
          <w:lang w:val="en-US" w:eastAsia="zh-CN" w:bidi="ar-SA"/>
        </w:rPr>
        <w:t xml:space="preserve">   </w:t>
      </w:r>
      <w:r>
        <w:rPr>
          <w:rFonts w:hint="eastAsia" w:ascii="宋体" w:hAnsi="宋体" w:cstheme="minorBidi"/>
          <w:kern w:val="0"/>
          <w:sz w:val="21"/>
          <w:szCs w:val="21"/>
          <w:lang w:val="en-US" w:eastAsia="zh-CN" w:bidi="ar-SA"/>
        </w:rPr>
        <w:t xml:space="preserve"> </w:t>
      </w:r>
      <w:r>
        <w:rPr>
          <w:rFonts w:hint="eastAsia" w:ascii="宋体" w:hAnsi="宋体" w:eastAsiaTheme="minorEastAsia" w:cstheme="minorBidi"/>
          <w:kern w:val="0"/>
          <w:sz w:val="21"/>
          <w:szCs w:val="21"/>
          <w:lang w:val="en-US" w:eastAsia="zh-CN" w:bidi="ar-SA"/>
        </w:rPr>
        <w:t>（三）</w:t>
      </w:r>
      <w:r>
        <w:rPr>
          <w:rFonts w:hint="eastAsia" w:ascii="宋体" w:hAnsi="宋体"/>
          <w:sz w:val="21"/>
          <w:szCs w:val="21"/>
        </w:rPr>
        <w:t>客房每天赠送</w:t>
      </w:r>
      <w:r>
        <w:rPr>
          <w:rFonts w:hint="eastAsia" w:ascii="宋体" w:hAnsi="宋体"/>
          <w:sz w:val="21"/>
          <w:szCs w:val="21"/>
          <w:lang w:eastAsia="zh-CN"/>
        </w:rPr>
        <w:t>至少</w:t>
      </w:r>
      <w:r>
        <w:rPr>
          <w:rFonts w:hint="eastAsia" w:ascii="宋体" w:hAnsi="宋体"/>
          <w:sz w:val="21"/>
          <w:szCs w:val="21"/>
          <w:lang w:val="en-US" w:eastAsia="zh-CN"/>
        </w:rPr>
        <w:t>4</w:t>
      </w:r>
      <w:r>
        <w:rPr>
          <w:rFonts w:hint="eastAsia" w:ascii="宋体" w:hAnsi="宋体"/>
          <w:sz w:val="21"/>
          <w:szCs w:val="21"/>
        </w:rPr>
        <w:t>支纯净水，按需换洗床上用品，每日房间清洁、垃圾清理及更换日常用品</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300" w:lineRule="exact"/>
        <w:ind w:left="0" w:leftChars="0" w:firstLine="403" w:firstLineChars="192"/>
        <w:textAlignment w:val="auto"/>
        <w:rPr>
          <w:rFonts w:hint="default" w:ascii="宋体" w:hAnsi="宋体"/>
          <w:kern w:val="0"/>
          <w:szCs w:val="21"/>
          <w:lang w:val="en-US" w:eastAsia="zh-CN"/>
        </w:rPr>
      </w:pPr>
      <w:r>
        <w:rPr>
          <w:rFonts w:hint="eastAsia" w:ascii="宋体" w:hAnsi="宋体"/>
          <w:kern w:val="0"/>
          <w:szCs w:val="21"/>
          <w:lang w:val="en-US" w:eastAsia="zh-CN"/>
        </w:rPr>
        <w:t>（四）合同期内需预留房间，随时能提供房间入住，</w:t>
      </w:r>
      <w:r>
        <w:rPr>
          <w:rFonts w:hint="eastAsia"/>
          <w:lang w:val="en-US" w:eastAsia="zh-CN"/>
        </w:rPr>
        <w:t>同时</w:t>
      </w:r>
      <w:r>
        <w:rPr>
          <w:rFonts w:hint="eastAsia"/>
          <w:color w:val="auto"/>
          <w:lang w:val="en-US" w:eastAsia="zh-CN"/>
        </w:rPr>
        <w:t>应保护采购人入住期间的生命财产安全。</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92"/>
        <w:textAlignment w:val="auto"/>
        <w:rPr>
          <w:rFonts w:hint="eastAsia" w:ascii="宋体" w:hAnsi="宋体"/>
          <w:b/>
          <w:bCs/>
          <w:spacing w:val="4"/>
          <w:szCs w:val="21"/>
          <w:lang w:val="en-US" w:eastAsia="zh-CN"/>
        </w:rPr>
      </w:pPr>
      <w:r>
        <w:rPr>
          <w:rFonts w:hint="eastAsia" w:ascii="宋体" w:hAnsi="宋体"/>
          <w:b/>
          <w:bCs/>
          <w:spacing w:val="4"/>
          <w:szCs w:val="21"/>
          <w:lang w:val="en-US" w:eastAsia="zh-CN"/>
        </w:rPr>
        <w:t>五、注意事项</w:t>
      </w:r>
    </w:p>
    <w:p>
      <w:pPr>
        <w:keepNext w:val="0"/>
        <w:keepLines w:val="0"/>
        <w:pageBreakBefore w:val="0"/>
        <w:kinsoku/>
        <w:wordWrap/>
        <w:overflowPunct/>
        <w:topLinePunct w:val="0"/>
        <w:autoSpaceDE/>
        <w:autoSpaceDN/>
        <w:bidi w:val="0"/>
        <w:adjustRightInd/>
        <w:snapToGrid/>
        <w:spacing w:line="300" w:lineRule="exact"/>
        <w:ind w:left="0" w:leftChars="0" w:firstLine="403" w:firstLineChars="192"/>
        <w:textAlignment w:val="auto"/>
        <w:rPr>
          <w:rFonts w:hint="eastAsia" w:ascii="宋体" w:hAnsi="宋体"/>
          <w:kern w:val="0"/>
          <w:szCs w:val="21"/>
          <w:lang w:val="en-US" w:eastAsia="zh-CN"/>
        </w:rPr>
      </w:pPr>
      <w:r>
        <w:rPr>
          <w:rFonts w:hint="eastAsia" w:ascii="宋体" w:hAnsi="宋体"/>
          <w:kern w:val="0"/>
          <w:szCs w:val="21"/>
          <w:lang w:val="en-US" w:eastAsia="zh-CN"/>
        </w:rPr>
        <w:t>如遇特殊项目情况或成交供应商因服务档期或客观条件无法保证采购人实际需求，采购人有权在成交供应商范围外另行选择其他符合要求的供应商。采购人不保证成交人在本项目服务期间获得的业务量。</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92"/>
        <w:textAlignment w:val="auto"/>
        <w:rPr>
          <w:rFonts w:hint="eastAsia" w:ascii="宋体" w:hAnsi="宋体"/>
          <w:b/>
          <w:bCs/>
          <w:spacing w:val="4"/>
          <w:szCs w:val="21"/>
          <w:lang w:val="en-US" w:eastAsia="zh-CN"/>
        </w:rPr>
      </w:pPr>
      <w:r>
        <w:rPr>
          <w:rFonts w:hint="eastAsia" w:ascii="宋体" w:hAnsi="宋体"/>
          <w:b/>
          <w:bCs/>
          <w:spacing w:val="4"/>
          <w:szCs w:val="21"/>
          <w:lang w:val="en-US" w:eastAsia="zh-CN"/>
        </w:rPr>
        <w:t>六、供应商资格条件</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eastAsia="zh-CN"/>
        </w:rPr>
        <w:t>（</w:t>
      </w:r>
      <w:r>
        <w:rPr>
          <w:rFonts w:hint="eastAsia" w:ascii="宋体" w:hAnsi="宋体"/>
          <w:spacing w:val="4"/>
          <w:szCs w:val="21"/>
          <w:lang w:val="en-US" w:eastAsia="zh-CN"/>
        </w:rPr>
        <w:t>一）</w:t>
      </w:r>
      <w:r>
        <w:rPr>
          <w:rFonts w:hint="eastAsia" w:ascii="宋体" w:hAnsi="宋体"/>
          <w:spacing w:val="4"/>
          <w:szCs w:val="21"/>
          <w:lang w:eastAsia="zh-CN"/>
        </w:rPr>
        <w:t>具有独立承担民事责任的在中华人民共和国境内注册的法人或其他组织。</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eastAsia="zh-CN"/>
        </w:rPr>
      </w:pPr>
      <w:bookmarkStart w:id="0" w:name="_Hlk57820465"/>
      <w:r>
        <w:rPr>
          <w:rFonts w:hint="eastAsia" w:ascii="宋体" w:hAnsi="宋体"/>
          <w:spacing w:val="4"/>
          <w:szCs w:val="21"/>
          <w:lang w:eastAsia="zh-CN"/>
        </w:rPr>
        <w:t>（</w:t>
      </w:r>
      <w:r>
        <w:rPr>
          <w:rFonts w:hint="eastAsia" w:ascii="宋体" w:hAnsi="宋体"/>
          <w:spacing w:val="4"/>
          <w:szCs w:val="21"/>
          <w:lang w:val="en-US" w:eastAsia="zh-CN"/>
        </w:rPr>
        <w:t>二）</w:t>
      </w:r>
      <w:bookmarkEnd w:id="0"/>
      <w:r>
        <w:rPr>
          <w:rFonts w:hint="eastAsia" w:ascii="宋体" w:hAnsi="宋体"/>
          <w:spacing w:val="4"/>
          <w:szCs w:val="21"/>
          <w:lang w:eastAsia="zh-CN"/>
        </w:rPr>
        <w:t>必须具有履行本项目</w:t>
      </w:r>
      <w:r>
        <w:rPr>
          <w:rFonts w:hint="eastAsia" w:ascii="宋体" w:hAnsi="宋体"/>
          <w:spacing w:val="4"/>
          <w:szCs w:val="21"/>
          <w:lang w:val="en-US" w:eastAsia="zh-CN"/>
        </w:rPr>
        <w:t>所必需的设备和场地等能力</w:t>
      </w:r>
      <w:r>
        <w:rPr>
          <w:rFonts w:hint="eastAsia" w:ascii="宋体" w:hAnsi="宋体"/>
          <w:spacing w:val="4"/>
          <w:szCs w:val="21"/>
          <w:lang w:eastAsia="zh-CN"/>
        </w:rPr>
        <w:t>。</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eastAsia="zh-CN"/>
        </w:rPr>
        <w:t>（</w:t>
      </w:r>
      <w:r>
        <w:rPr>
          <w:rFonts w:hint="eastAsia" w:ascii="宋体" w:hAnsi="宋体"/>
          <w:spacing w:val="4"/>
          <w:szCs w:val="21"/>
          <w:lang w:val="en-US" w:eastAsia="zh-CN"/>
        </w:rPr>
        <w:t>三）</w:t>
      </w:r>
      <w:r>
        <w:rPr>
          <w:rFonts w:hint="eastAsia" w:ascii="宋体" w:hAnsi="宋体"/>
          <w:spacing w:val="4"/>
          <w:szCs w:val="21"/>
          <w:lang w:eastAsia="zh-CN"/>
        </w:rPr>
        <w:t>供应商</w:t>
      </w:r>
      <w:r>
        <w:rPr>
          <w:rFonts w:hint="eastAsia" w:ascii="宋体" w:hAnsi="宋体"/>
          <w:spacing w:val="4"/>
          <w:szCs w:val="21"/>
          <w:lang w:val="en-US" w:eastAsia="zh-CN"/>
        </w:rPr>
        <w:t>的</w:t>
      </w:r>
      <w:r>
        <w:rPr>
          <w:rFonts w:hint="eastAsia" w:ascii="宋体" w:hAnsi="宋体"/>
          <w:spacing w:val="4"/>
          <w:szCs w:val="21"/>
          <w:lang w:eastAsia="zh-CN"/>
        </w:rPr>
        <w:t>法定代表人或单位负责人与所参投的本项目其他供应商的法定代表人或单位负责人不</w:t>
      </w:r>
      <w:r>
        <w:rPr>
          <w:rFonts w:hint="eastAsia" w:ascii="宋体" w:hAnsi="宋体"/>
          <w:spacing w:val="4"/>
          <w:szCs w:val="21"/>
          <w:lang w:val="en-US" w:eastAsia="zh-CN"/>
        </w:rPr>
        <w:t>得</w:t>
      </w:r>
      <w:r>
        <w:rPr>
          <w:rFonts w:hint="eastAsia" w:ascii="宋体" w:hAnsi="宋体"/>
          <w:spacing w:val="4"/>
          <w:szCs w:val="21"/>
          <w:lang w:eastAsia="zh-CN"/>
        </w:rPr>
        <w:t>为同一人且与其他供应商之间不</w:t>
      </w:r>
      <w:r>
        <w:rPr>
          <w:rFonts w:hint="eastAsia" w:ascii="宋体" w:hAnsi="宋体"/>
          <w:spacing w:val="4"/>
          <w:szCs w:val="21"/>
          <w:lang w:val="en-US" w:eastAsia="zh-CN"/>
        </w:rPr>
        <w:t>得</w:t>
      </w:r>
      <w:r>
        <w:rPr>
          <w:rFonts w:hint="eastAsia" w:ascii="宋体" w:hAnsi="宋体"/>
          <w:spacing w:val="4"/>
          <w:szCs w:val="21"/>
          <w:lang w:eastAsia="zh-CN"/>
        </w:rPr>
        <w:t>存在直接控股、管理关系。</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92"/>
        <w:textAlignment w:val="auto"/>
        <w:rPr>
          <w:rFonts w:hint="eastAsia" w:ascii="宋体" w:hAnsi="宋体"/>
          <w:b/>
          <w:bCs/>
          <w:spacing w:val="4"/>
          <w:szCs w:val="21"/>
          <w:lang w:val="en-US" w:eastAsia="zh-CN"/>
        </w:rPr>
      </w:pPr>
      <w:r>
        <w:rPr>
          <w:rFonts w:hint="eastAsia" w:ascii="宋体" w:hAnsi="宋体"/>
          <w:b/>
          <w:bCs/>
          <w:spacing w:val="4"/>
          <w:szCs w:val="21"/>
          <w:lang w:val="en-US" w:eastAsia="zh-CN"/>
        </w:rPr>
        <w:t>七、款项支付</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val="en-US" w:eastAsia="zh-CN"/>
        </w:rPr>
      </w:pPr>
      <w:r>
        <w:rPr>
          <w:rFonts w:hint="eastAsia" w:ascii="宋体" w:hAnsi="宋体"/>
          <w:spacing w:val="4"/>
          <w:szCs w:val="21"/>
          <w:lang w:val="en-US" w:eastAsia="zh-CN"/>
        </w:rPr>
        <w:t>采购人每3个月以实际</w:t>
      </w:r>
      <w:r>
        <w:rPr>
          <w:rFonts w:hint="eastAsia" w:ascii="宋体" w:hAnsi="宋体" w:cs="宋体"/>
          <w:bCs/>
          <w:szCs w:val="21"/>
          <w:lang w:val="en-US" w:eastAsia="zh-CN"/>
        </w:rPr>
        <w:t>入住</w:t>
      </w:r>
      <w:r>
        <w:rPr>
          <w:rFonts w:hint="eastAsia" w:ascii="宋体" w:hAnsi="宋体" w:cs="宋体"/>
          <w:bCs/>
          <w:szCs w:val="21"/>
        </w:rPr>
        <w:t>的人数</w:t>
      </w:r>
      <w:r>
        <w:rPr>
          <w:rFonts w:hint="eastAsia" w:ascii="宋体" w:hAnsi="宋体" w:cs="宋体"/>
          <w:bCs/>
          <w:szCs w:val="21"/>
          <w:lang w:eastAsia="zh-CN"/>
        </w:rPr>
        <w:t>、</w:t>
      </w:r>
      <w:r>
        <w:rPr>
          <w:rFonts w:hint="eastAsia" w:ascii="宋体" w:hAnsi="宋体" w:cs="宋体"/>
          <w:bCs/>
          <w:szCs w:val="21"/>
          <w:lang w:val="en-US" w:eastAsia="zh-CN"/>
        </w:rPr>
        <w:t>天数</w:t>
      </w:r>
      <w:r>
        <w:rPr>
          <w:rFonts w:hint="eastAsia" w:ascii="宋体" w:hAnsi="宋体" w:cs="宋体"/>
          <w:bCs/>
          <w:szCs w:val="21"/>
        </w:rPr>
        <w:t>确定</w:t>
      </w:r>
      <w:r>
        <w:rPr>
          <w:rFonts w:hint="eastAsia" w:ascii="宋体" w:hAnsi="宋体" w:cs="宋体"/>
          <w:bCs/>
          <w:szCs w:val="21"/>
          <w:lang w:eastAsia="zh-CN"/>
        </w:rPr>
        <w:t>支付金额，</w:t>
      </w:r>
      <w:r>
        <w:rPr>
          <w:rFonts w:hint="eastAsia" w:ascii="宋体" w:hAnsi="宋体"/>
          <w:spacing w:val="4"/>
          <w:szCs w:val="21"/>
          <w:lang w:val="en-US" w:eastAsia="zh-CN"/>
        </w:rPr>
        <w:t>成交供应商提供期间本单位入住人员住宿清单明细且要有酒店盖章和入住人员的签名确认，根据产生的相应住宿费用开具合法有效的等额普通发票，采购人在收到发票等完整资料后30日内向成交人支付款项。</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192"/>
        <w:textAlignment w:val="auto"/>
        <w:rPr>
          <w:rFonts w:hint="eastAsia" w:ascii="宋体" w:hAnsi="宋体"/>
          <w:b/>
          <w:bCs/>
          <w:spacing w:val="4"/>
          <w:szCs w:val="21"/>
          <w:lang w:val="en-US" w:eastAsia="zh-CN"/>
        </w:rPr>
      </w:pPr>
      <w:r>
        <w:rPr>
          <w:rFonts w:hint="eastAsia" w:ascii="宋体" w:hAnsi="宋体"/>
          <w:b/>
          <w:bCs/>
          <w:spacing w:val="4"/>
          <w:szCs w:val="21"/>
          <w:lang w:val="en-US" w:eastAsia="zh-CN"/>
        </w:rPr>
        <w:t>八、售后保障</w:t>
      </w:r>
    </w:p>
    <w:p>
      <w:pPr>
        <w:keepNext w:val="0"/>
        <w:keepLines w:val="0"/>
        <w:pageBreakBefore w:val="0"/>
        <w:kinsoku/>
        <w:wordWrap/>
        <w:overflowPunct/>
        <w:topLinePunct w:val="0"/>
        <w:autoSpaceDE/>
        <w:autoSpaceDN/>
        <w:bidi w:val="0"/>
        <w:adjustRightInd/>
        <w:snapToGrid/>
        <w:spacing w:line="300" w:lineRule="exact"/>
        <w:ind w:left="0" w:leftChars="0" w:firstLine="418" w:firstLineChars="192"/>
        <w:textAlignment w:val="auto"/>
        <w:rPr>
          <w:rFonts w:hint="eastAsia" w:ascii="宋体" w:hAnsi="宋体"/>
          <w:spacing w:val="4"/>
          <w:szCs w:val="21"/>
          <w:lang w:eastAsia="zh-CN"/>
        </w:rPr>
      </w:pPr>
      <w:r>
        <w:rPr>
          <w:rFonts w:hint="eastAsia" w:ascii="宋体" w:hAnsi="宋体"/>
          <w:spacing w:val="4"/>
          <w:szCs w:val="21"/>
          <w:lang w:val="en-US" w:eastAsia="zh-CN"/>
        </w:rPr>
        <w:t>成交供应商应当对在服务期间获得的个人入住信息进行保密，未经过采购人书面同意，</w:t>
      </w:r>
      <w:r>
        <w:rPr>
          <w:rFonts w:hint="eastAsia" w:ascii="宋体" w:hAnsi="宋体"/>
          <w:spacing w:val="4"/>
          <w:szCs w:val="21"/>
          <w:lang w:eastAsia="zh-CN"/>
        </w:rPr>
        <w:t>不得以任何方式向第三方披露。且该义务不因</w:t>
      </w:r>
      <w:r>
        <w:rPr>
          <w:rFonts w:hint="eastAsia" w:ascii="宋体" w:hAnsi="宋体"/>
          <w:spacing w:val="4"/>
          <w:szCs w:val="21"/>
          <w:lang w:val="en-US" w:eastAsia="zh-CN"/>
        </w:rPr>
        <w:t>服务合同</w:t>
      </w:r>
      <w:r>
        <w:rPr>
          <w:rFonts w:hint="eastAsia" w:ascii="宋体" w:hAnsi="宋体"/>
          <w:spacing w:val="4"/>
          <w:szCs w:val="21"/>
          <w:lang w:eastAsia="zh-CN"/>
        </w:rPr>
        <w:t>的终止而终止。</w:t>
      </w: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u w:val="none"/>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both"/>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both"/>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1"/>
        </w:numPr>
        <w:kinsoku/>
        <w:wordWrap/>
        <w:overflowPunct/>
        <w:topLinePunct w:val="0"/>
        <w:bidi w:val="0"/>
        <w:spacing w:line="340" w:lineRule="exact"/>
        <w:ind w:left="0" w:leftChars="0" w:firstLine="0" w:firstLineChars="0"/>
        <w:jc w:val="center"/>
        <w:rPr>
          <w:rFonts w:hint="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 </w:t>
      </w:r>
      <w:r>
        <w:rPr>
          <w:rFonts w:hint="eastAsia"/>
          <w:b/>
          <w:bCs/>
          <w:sz w:val="32"/>
          <w:szCs w:val="32"/>
          <w:lang w:val="en-US" w:eastAsia="zh-CN"/>
        </w:rPr>
        <w:t xml:space="preserve"> 响应文件格式</w:t>
      </w:r>
    </w:p>
    <w:p>
      <w:pPr>
        <w:pStyle w:val="2"/>
        <w:numPr>
          <w:ilvl w:val="0"/>
          <w:numId w:val="0"/>
        </w:numPr>
        <w:ind w:leftChars="0"/>
        <w:rPr>
          <w:rFonts w:hint="eastAsia"/>
          <w:lang w:val="en-US" w:eastAsia="zh-CN"/>
        </w:rPr>
      </w:pPr>
    </w:p>
    <w:p>
      <w:pPr>
        <w:ind w:left="0" w:leftChars="0" w:firstLine="1044" w:firstLineChars="200"/>
        <w:jc w:val="center"/>
        <w:rPr>
          <w:rFonts w:hint="eastAsia" w:ascii="宋体" w:hAnsi="宋体" w:cs="宋体"/>
          <w:b/>
          <w:bCs/>
          <w:sz w:val="52"/>
          <w:szCs w:val="52"/>
          <w:lang w:val="en-US" w:eastAsia="zh-CN"/>
        </w:rPr>
      </w:pPr>
      <w:r>
        <w:rPr>
          <w:rFonts w:hint="eastAsia" w:ascii="宋体" w:hAnsi="宋体" w:cs="宋体"/>
          <w:b/>
          <w:bCs/>
          <w:sz w:val="52"/>
          <w:szCs w:val="52"/>
          <w:lang w:val="en-US" w:eastAsia="zh-CN"/>
        </w:rPr>
        <w:t>广东省阳春监狱罪犯外诊执勤</w:t>
      </w:r>
    </w:p>
    <w:p>
      <w:pPr>
        <w:ind w:left="0" w:leftChars="0" w:firstLine="1044" w:firstLineChars="200"/>
        <w:jc w:val="center"/>
        <w:rPr>
          <w:rFonts w:hint="eastAsia" w:ascii="宋体" w:hAnsi="宋体" w:cs="宋体"/>
          <w:b/>
          <w:bCs/>
          <w:sz w:val="52"/>
          <w:szCs w:val="52"/>
          <w:lang w:val="en-US" w:eastAsia="zh-CN"/>
        </w:rPr>
      </w:pPr>
      <w:r>
        <w:rPr>
          <w:rFonts w:hint="eastAsia" w:ascii="宋体" w:hAnsi="宋体" w:cs="宋体"/>
          <w:b/>
          <w:bCs/>
          <w:sz w:val="52"/>
          <w:szCs w:val="52"/>
          <w:lang w:val="en-US" w:eastAsia="zh-CN"/>
        </w:rPr>
        <w:t>民警备勤点服务项目</w:t>
      </w:r>
    </w:p>
    <w:p>
      <w:pPr>
        <w:pageBreakBefore w:val="0"/>
        <w:kinsoku/>
        <w:wordWrap/>
        <w:overflowPunct/>
        <w:topLinePunct w:val="0"/>
        <w:autoSpaceDE/>
        <w:autoSpaceDN/>
        <w:bidi w:val="0"/>
        <w:spacing w:line="760" w:lineRule="exact"/>
        <w:jc w:val="center"/>
        <w:textAlignment w:val="auto"/>
        <w:rPr>
          <w:rFonts w:hint="eastAsia" w:ascii="宋体" w:hAnsi="宋体" w:cs="宋体"/>
          <w:b/>
          <w:bCs/>
          <w:sz w:val="52"/>
          <w:szCs w:val="52"/>
          <w:lang w:val="en-US"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响</w:t>
      </w: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应</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一、用户需求书响应函…………………………………1</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二、资格声明书…………………………………………2</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三、营业执照（副本）…………………………………3</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四、法定代表人/负责人证明书 ………………………4</w:t>
      </w:r>
    </w:p>
    <w:p>
      <w:pPr>
        <w:keepNext w:val="0"/>
        <w:keepLines w:val="0"/>
        <w:pageBreakBefore w:val="0"/>
        <w:widowControl w:val="0"/>
        <w:kinsoku/>
        <w:wordWrap/>
        <w:overflowPunct/>
        <w:topLinePunct w:val="0"/>
        <w:autoSpaceDE/>
        <w:autoSpaceDN/>
        <w:bidi w:val="0"/>
        <w:adjustRightInd/>
        <w:snapToGrid/>
        <w:spacing w:line="560" w:lineRule="exact"/>
        <w:ind w:left="0" w:leftChars="0" w:right="586" w:rightChars="279" w:firstLine="640" w:firstLineChars="200"/>
        <w:jc w:val="left"/>
        <w:textAlignment w:val="auto"/>
        <w:outlineLvl w:val="9"/>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五、授权委托书（如需授权）…………………………5</w:t>
      </w: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4"/>
        <w:spacing w:before="0" w:after="0"/>
        <w:jc w:val="left"/>
        <w:rPr>
          <w:rFonts w:hint="eastAsia" w:asciiTheme="minorEastAsia" w:hAnsiTheme="minorEastAsia" w:eastAsiaTheme="minorEastAsia" w:cstheme="minorEastAsia"/>
          <w:b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1"/>
          <w:szCs w:val="21"/>
          <w:lang w:val="en-US" w:eastAsia="zh-CN" w:bidi="ar-SA"/>
          <w14:textFill>
            <w14:solidFill>
              <w14:schemeClr w14:val="tx1"/>
            </w14:solidFill>
          </w14:textFill>
        </w:rPr>
        <w:t>1.用户需求书响应函</w:t>
      </w:r>
    </w:p>
    <w:p>
      <w:pPr>
        <w:pStyle w:val="4"/>
        <w:spacing w:before="0" w:after="0"/>
        <w:jc w:val="center"/>
        <w:rPr>
          <w:rFonts w:hint="default" w:ascii="宋体" w:hAnsi="宋体" w:eastAsia="宋体" w:cs="宋体"/>
          <w:color w:val="000000" w:themeColor="text1"/>
          <w:lang w:val="en-US" w:eastAsia="zh-CN"/>
          <w14:textFill>
            <w14:solidFill>
              <w14:schemeClr w14:val="tx1"/>
            </w14:solidFill>
          </w14:textFill>
        </w:rPr>
      </w:pPr>
    </w:p>
    <w:p>
      <w:pPr>
        <w:pStyle w:val="4"/>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用户需求书响应函</w:t>
      </w:r>
    </w:p>
    <w:p/>
    <w:p>
      <w:pPr>
        <w:spacing w:line="360" w:lineRule="auto"/>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1"/>
          <w:lang w:eastAsia="zh-CN"/>
          <w14:textFill>
            <w14:solidFill>
              <w14:schemeClr w14:val="tx1"/>
            </w14:solidFill>
          </w14:textFill>
        </w:rPr>
        <w:t>广东省阳春监狱</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关于贵单位发布</w:t>
      </w:r>
      <w:r>
        <w:rPr>
          <w:rFonts w:hint="eastAsia" w:ascii="宋体" w:hAnsi="宋体" w:eastAsia="宋体" w:cs="宋体"/>
          <w:b/>
          <w:bCs/>
          <w:color w:val="000000" w:themeColor="text1"/>
          <w:szCs w:val="21"/>
          <w:u w:val="single"/>
          <w:lang w:val="en-US" w:eastAsia="zh-CN"/>
          <w14:textFill>
            <w14:solidFill>
              <w14:schemeClr w14:val="tx1"/>
            </w14:solidFill>
          </w14:textFill>
        </w:rPr>
        <w:t>广东省阳春监狱罪犯外诊执勤民警备勤点服务项目</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公告，本公司（企业）愿意参加</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活动，并作出如下</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w:t>
      </w:r>
    </w:p>
    <w:p>
      <w:pPr>
        <w:pStyle w:val="22"/>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w:t>
      </w:r>
      <w:r>
        <w:rPr>
          <w:rFonts w:hint="eastAsia" w:ascii="宋体" w:hAnsi="宋体" w:cs="宋体"/>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w:t>
      </w:r>
      <w:r>
        <w:rPr>
          <w:rFonts w:hint="eastAsia" w:asciiTheme="minorEastAsia" w:hAnsiTheme="minorEastAsia" w:cstheme="minorEastAsia"/>
          <w:color w:val="000000" w:themeColor="text1"/>
          <w:sz w:val="21"/>
          <w:szCs w:val="2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条款、内容及要求均为完全响应，不存在任意一条负偏离或不响应的情况。本公司（企业）清楚，若对于用户需求书</w:t>
      </w:r>
      <w:r>
        <w:rPr>
          <w:rFonts w:hint="eastAsia" w:ascii="宋体" w:hAnsi="宋体" w:cs="宋体"/>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w:t>
      </w:r>
      <w:r>
        <w:rPr>
          <w:rFonts w:hint="eastAsia" w:asciiTheme="minorEastAsia" w:hAnsiTheme="minorEastAsia" w:cstheme="minorEastAsia"/>
          <w:color w:val="000000" w:themeColor="text1"/>
          <w:sz w:val="21"/>
          <w:szCs w:val="2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条款存在任意一条负偏离或不响应的情况，不被推荐为成交候选人的要求。</w:t>
      </w:r>
    </w:p>
    <w:p>
      <w:pPr>
        <w:pStyle w:val="22"/>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21"/>
        <w:numPr>
          <w:ilvl w:val="0"/>
          <w:numId w:val="2"/>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w:t>
      </w:r>
      <w:r>
        <w:rPr>
          <w:rFonts w:hint="eastAsia" w:ascii="宋体" w:hAnsi="宋体" w:eastAsia="宋体" w:cs="宋体"/>
          <w:color w:val="000000" w:themeColor="text1"/>
          <w:lang w:val="en-US" w:eastAsia="zh-CN"/>
          <w14:textFill>
            <w14:solidFill>
              <w14:schemeClr w14:val="tx1"/>
            </w14:solidFill>
          </w14:textFill>
        </w:rPr>
        <w:t>响应</w:t>
      </w:r>
      <w:r>
        <w:rPr>
          <w:rFonts w:hint="eastAsia" w:ascii="宋体" w:hAnsi="宋体" w:eastAsia="宋体" w:cs="宋体"/>
          <w:color w:val="000000" w:themeColor="text1"/>
          <w14:textFill>
            <w14:solidFill>
              <w14:schemeClr w14:val="tx1"/>
            </w14:solidFill>
          </w14:textFill>
        </w:rPr>
        <w:t>函必须提供且内容不得擅自删改，否则视为响应无效。</w:t>
      </w:r>
    </w:p>
    <w:p>
      <w:pPr>
        <w:pStyle w:val="21"/>
        <w:numPr>
          <w:ilvl w:val="0"/>
          <w:numId w:val="2"/>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lang w:val="en-US" w:eastAsia="zh-CN"/>
          <w14:textFill>
            <w14:solidFill>
              <w14:schemeClr w14:val="tx1"/>
            </w14:solidFill>
          </w14:textFill>
        </w:rPr>
        <w:t>响应</w:t>
      </w:r>
      <w:r>
        <w:rPr>
          <w:rFonts w:hint="eastAsia" w:ascii="宋体" w:hAnsi="宋体" w:eastAsia="宋体" w:cs="宋体"/>
          <w:color w:val="000000" w:themeColor="text1"/>
          <w:szCs w:val="21"/>
          <w14:textFill>
            <w14:solidFill>
              <w14:schemeClr w14:val="tx1"/>
            </w14:solidFill>
          </w14:textFill>
        </w:rPr>
        <w:t>函如有虚假或与事实不符的，作无效</w:t>
      </w:r>
      <w:r>
        <w:rPr>
          <w:rFonts w:hint="eastAsia" w:ascii="宋体" w:hAnsi="宋体" w:eastAsia="宋体" w:cs="宋体"/>
          <w:color w:val="000000" w:themeColor="text1"/>
          <w:szCs w:val="21"/>
          <w:lang w:val="en-US" w:eastAsia="zh-CN"/>
          <w14:textFill>
            <w14:solidFill>
              <w14:schemeClr w14:val="tx1"/>
            </w14:solidFill>
          </w14:textFill>
        </w:rPr>
        <w:t>响应</w:t>
      </w:r>
      <w:r>
        <w:rPr>
          <w:rFonts w:hint="eastAsia" w:ascii="宋体" w:hAnsi="宋体" w:eastAsia="宋体" w:cs="宋体"/>
          <w:color w:val="000000" w:themeColor="text1"/>
          <w:szCs w:val="21"/>
          <w14:textFill>
            <w14:solidFill>
              <w14:schemeClr w14:val="tx1"/>
            </w14:solidFill>
          </w14:textFill>
        </w:rPr>
        <w:t>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9"/>
        <w:pageBreakBefore w:val="0"/>
        <w:kinsoku/>
        <w:wordWrap/>
        <w:overflowPunct/>
        <w:topLinePunct w:val="0"/>
        <w:bidi w:val="0"/>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资格声明书</w:t>
      </w:r>
    </w:p>
    <w:p>
      <w:pPr>
        <w:pStyle w:val="4"/>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lang w:eastAsia="zh-CN"/>
          <w14:textFill>
            <w14:solidFill>
              <w14:schemeClr w14:val="tx1"/>
            </w14:solidFill>
          </w14:textFill>
        </w:rPr>
        <w:t>广东省阳春监狱</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关于贵单位发布</w:t>
      </w:r>
      <w:r>
        <w:rPr>
          <w:rFonts w:hint="eastAsia" w:ascii="宋体" w:hAnsi="宋体" w:eastAsia="宋体" w:cs="宋体"/>
          <w:b/>
          <w:bCs/>
          <w:color w:val="000000" w:themeColor="text1"/>
          <w:szCs w:val="21"/>
          <w:u w:val="single"/>
          <w:lang w:val="en-US" w:eastAsia="zh-CN"/>
          <w14:textFill>
            <w14:solidFill>
              <w14:schemeClr w14:val="tx1"/>
            </w14:solidFill>
          </w14:textFill>
        </w:rPr>
        <w:t>广东省阳春监狱罪犯外诊执勤民警备勤点服务项目</w:t>
      </w:r>
      <w:r>
        <w:rPr>
          <w:rFonts w:hint="eastAsia" w:ascii="宋体" w:hAnsi="宋体" w:eastAsia="宋体" w:cs="宋体"/>
          <w:color w:val="000000" w:themeColor="text1"/>
          <w:szCs w:val="24"/>
          <w14:textFill>
            <w14:solidFill>
              <w14:schemeClr w14:val="tx1"/>
            </w14:solidFill>
          </w14:textFill>
        </w:rPr>
        <w:t>的</w:t>
      </w:r>
      <w:r>
        <w:rPr>
          <w:rFonts w:hint="eastAsia" w:ascii="宋体" w:hAnsi="宋体" w:eastAsia="宋体" w:cs="宋体"/>
          <w:color w:val="000000" w:themeColor="text1"/>
          <w:szCs w:val="24"/>
          <w:lang w:eastAsia="zh-CN"/>
          <w14:textFill>
            <w14:solidFill>
              <w14:schemeClr w14:val="tx1"/>
            </w14:solidFill>
          </w14:textFill>
        </w:rPr>
        <w:t>采购</w:t>
      </w:r>
      <w:r>
        <w:rPr>
          <w:rFonts w:hint="eastAsia" w:ascii="宋体" w:hAnsi="宋体" w:eastAsia="宋体" w:cs="宋体"/>
          <w:color w:val="000000" w:themeColor="text1"/>
          <w:szCs w:val="24"/>
          <w14:textFill>
            <w14:solidFill>
              <w14:schemeClr w14:val="tx1"/>
            </w14:solidFill>
          </w14:textFill>
        </w:rPr>
        <w:t>公告，本公司（企业）愿意参加</w:t>
      </w:r>
      <w:r>
        <w:rPr>
          <w:rFonts w:hint="eastAsia" w:ascii="宋体" w:hAnsi="宋体" w:eastAsia="宋体" w:cs="宋体"/>
          <w:color w:val="000000" w:themeColor="text1"/>
          <w:szCs w:val="24"/>
          <w:lang w:eastAsia="zh-CN"/>
          <w14:textFill>
            <w14:solidFill>
              <w14:schemeClr w14:val="tx1"/>
            </w14:solidFill>
          </w14:textFill>
        </w:rPr>
        <w:t>采购</w:t>
      </w:r>
      <w:r>
        <w:rPr>
          <w:rFonts w:hint="eastAsia" w:ascii="宋体" w:hAnsi="宋体" w:eastAsia="宋体" w:cs="宋体"/>
          <w:color w:val="000000" w:themeColor="text1"/>
          <w:szCs w:val="24"/>
          <w14:textFill>
            <w14:solidFill>
              <w14:schemeClr w14:val="tx1"/>
            </w14:solidFill>
          </w14:textFill>
        </w:rPr>
        <w:t>活动，并作出如下声明：</w:t>
      </w:r>
    </w:p>
    <w:p>
      <w:pPr>
        <w:widowControl/>
        <w:spacing w:line="360" w:lineRule="auto"/>
        <w:ind w:firstLine="36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一、</w:t>
      </w:r>
      <w:r>
        <w:rPr>
          <w:rFonts w:hint="eastAsia" w:ascii="宋体" w:hAnsi="宋体" w:eastAsia="宋体" w:cs="宋体"/>
          <w:color w:val="000000" w:themeColor="text1"/>
          <w:kern w:val="0"/>
          <w:szCs w:val="21"/>
          <w14:textFill>
            <w14:solidFill>
              <w14:schemeClr w14:val="tx1"/>
            </w14:solidFill>
          </w14:textFill>
        </w:rPr>
        <w:t>本公司（企业）</w:t>
      </w:r>
      <w:r>
        <w:rPr>
          <w:rFonts w:hint="eastAsia" w:ascii="宋体" w:hAnsi="宋体" w:eastAsia="宋体" w:cs="宋体"/>
          <w:color w:val="000000" w:themeColor="text1"/>
          <w:kern w:val="0"/>
          <w:szCs w:val="21"/>
          <w:lang w:eastAsia="zh-CN"/>
          <w14:textFill>
            <w14:solidFill>
              <w14:schemeClr w14:val="tx1"/>
            </w14:solidFill>
          </w14:textFill>
        </w:rPr>
        <w:t>具有独立承担民事责任的在中华人民共和国境内注册的法人或其他组织。</w:t>
      </w:r>
    </w:p>
    <w:p>
      <w:pPr>
        <w:widowControl/>
        <w:spacing w:line="360" w:lineRule="auto"/>
        <w:ind w:firstLine="36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二、</w:t>
      </w:r>
      <w:r>
        <w:rPr>
          <w:rFonts w:hint="eastAsia" w:ascii="宋体" w:hAnsi="宋体" w:eastAsia="宋体" w:cs="宋体"/>
          <w:color w:val="000000" w:themeColor="text1"/>
          <w:kern w:val="0"/>
          <w:szCs w:val="21"/>
          <w14:textFill>
            <w14:solidFill>
              <w14:schemeClr w14:val="tx1"/>
            </w14:solidFill>
          </w14:textFill>
        </w:rPr>
        <w:t>本公司（企业）</w:t>
      </w:r>
      <w:r>
        <w:rPr>
          <w:rFonts w:hint="eastAsia" w:ascii="宋体" w:hAnsi="宋体" w:eastAsia="宋体" w:cs="宋体"/>
          <w:color w:val="000000" w:themeColor="text1"/>
          <w:kern w:val="0"/>
          <w:szCs w:val="21"/>
          <w:lang w:eastAsia="zh-CN"/>
          <w14:textFill>
            <w14:solidFill>
              <w14:schemeClr w14:val="tx1"/>
            </w14:solidFill>
          </w14:textFill>
        </w:rPr>
        <w:t>具有履行本项目</w:t>
      </w:r>
      <w:r>
        <w:rPr>
          <w:rFonts w:hint="eastAsia" w:ascii="宋体" w:hAnsi="宋体" w:eastAsia="宋体" w:cs="宋体"/>
          <w:color w:val="000000" w:themeColor="text1"/>
          <w:kern w:val="0"/>
          <w:szCs w:val="21"/>
          <w:lang w:val="en-US" w:eastAsia="zh-CN"/>
          <w14:textFill>
            <w14:solidFill>
              <w14:schemeClr w14:val="tx1"/>
            </w14:solidFill>
          </w14:textFill>
        </w:rPr>
        <w:t>所必需的设备和场地等能力</w:t>
      </w:r>
      <w:r>
        <w:rPr>
          <w:rFonts w:hint="eastAsia" w:ascii="宋体" w:hAnsi="宋体" w:eastAsia="宋体" w:cs="宋体"/>
          <w:color w:val="000000" w:themeColor="text1"/>
          <w:kern w:val="0"/>
          <w:szCs w:val="21"/>
          <w:lang w:eastAsia="zh-CN"/>
          <w14:textFill>
            <w14:solidFill>
              <w14:schemeClr w14:val="tx1"/>
            </w14:solidFill>
          </w14:textFill>
        </w:rPr>
        <w:t>。</w:t>
      </w:r>
    </w:p>
    <w:p>
      <w:pPr>
        <w:widowControl/>
        <w:spacing w:line="360" w:lineRule="auto"/>
        <w:ind w:firstLine="36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三、</w:t>
      </w:r>
      <w:r>
        <w:rPr>
          <w:rFonts w:hint="eastAsia" w:ascii="宋体" w:hAnsi="宋体" w:eastAsia="宋体" w:cs="宋体"/>
          <w:color w:val="000000" w:themeColor="text1"/>
          <w:kern w:val="0"/>
          <w:szCs w:val="21"/>
          <w14:textFill>
            <w14:solidFill>
              <w14:schemeClr w14:val="tx1"/>
            </w14:solidFill>
          </w14:textFill>
        </w:rPr>
        <w:t>本公司（企业）有固定的经营</w:t>
      </w:r>
      <w:r>
        <w:rPr>
          <w:rFonts w:hint="eastAsia" w:ascii="宋体" w:hAnsi="宋体" w:eastAsia="宋体" w:cs="宋体"/>
          <w:color w:val="000000" w:themeColor="text1"/>
          <w:szCs w:val="24"/>
          <w14:textFill>
            <w14:solidFill>
              <w14:schemeClr w14:val="tx1"/>
            </w14:solidFill>
          </w14:textFill>
        </w:rPr>
        <w:t>场所，信誉良好、售后维护服务好，并且在经营活动中无严重违法记录。</w:t>
      </w:r>
    </w:p>
    <w:p>
      <w:pPr>
        <w:numPr>
          <w:ilvl w:val="0"/>
          <w:numId w:val="3"/>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3"/>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3"/>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w:t>
      </w:r>
      <w:r>
        <w:rPr>
          <w:rFonts w:hint="eastAsia" w:ascii="宋体" w:hAnsi="宋体" w:eastAsia="宋体" w:cs="宋体"/>
          <w:color w:val="000000" w:themeColor="text1"/>
          <w:szCs w:val="24"/>
          <w:lang w:eastAsia="zh-CN"/>
          <w14:textFill>
            <w14:solidFill>
              <w14:schemeClr w14:val="tx1"/>
            </w14:solidFill>
          </w14:textFill>
        </w:rPr>
        <w:t>采购</w:t>
      </w:r>
      <w:r>
        <w:rPr>
          <w:rFonts w:hint="eastAsia" w:ascii="宋体" w:hAnsi="宋体" w:eastAsia="宋体" w:cs="宋体"/>
          <w:color w:val="000000" w:themeColor="text1"/>
          <w:szCs w:val="24"/>
          <w14:textFill>
            <w14:solidFill>
              <w14:schemeClr w14:val="tx1"/>
            </w14:solidFill>
          </w14:textFill>
        </w:rPr>
        <w:t>。</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21"/>
        <w:numPr>
          <w:ilvl w:val="0"/>
          <w:numId w:val="4"/>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21"/>
        <w:numPr>
          <w:ilvl w:val="0"/>
          <w:numId w:val="4"/>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w:t>
      </w:r>
      <w:r>
        <w:rPr>
          <w:rFonts w:hint="eastAsia" w:ascii="宋体" w:hAnsi="宋体" w:eastAsia="宋体" w:cs="宋体"/>
          <w:color w:val="000000" w:themeColor="text1"/>
          <w14:textFill>
            <w14:solidFill>
              <w14:schemeClr w14:val="tx1"/>
            </w14:solidFill>
          </w14:textFill>
        </w:rPr>
        <w:t>响应</w:t>
      </w:r>
      <w:r>
        <w:rPr>
          <w:rFonts w:hint="eastAsia" w:ascii="宋体" w:hAnsi="宋体" w:eastAsia="宋体" w:cs="宋体"/>
          <w:color w:val="000000" w:themeColor="text1"/>
          <w:szCs w:val="21"/>
          <w14:textFill>
            <w14:solidFill>
              <w14:schemeClr w14:val="tx1"/>
            </w14:solidFill>
          </w14:textFill>
        </w:rPr>
        <w:t>处理。</w:t>
      </w:r>
    </w:p>
    <w:p>
      <w:pPr>
        <w:pStyle w:val="21"/>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21"/>
        <w:wordWrap w:val="0"/>
        <w:spacing w:line="360" w:lineRule="auto"/>
        <w:ind w:left="1200" w:right="218" w:firstLine="0" w:firstLineChars="0"/>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w:t>
      </w:r>
      <w:r>
        <w:rPr>
          <w:rFonts w:hint="eastAsia" w:asciiTheme="minorEastAsia" w:hAnsiTheme="minorEastAsia" w:cstheme="minorEastAsia"/>
          <w:color w:val="000000" w:themeColor="text1"/>
          <w:sz w:val="21"/>
          <w:szCs w:val="21"/>
          <w:lang w:eastAsia="zh-CN"/>
          <w14:textFill>
            <w14:solidFill>
              <w14:schemeClr w14:val="tx1"/>
            </w14:solidFill>
          </w14:textFill>
        </w:rPr>
        <w:t>公司</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9264;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9264;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9"/>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9"/>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9"/>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9"/>
        <w:pageBreakBefore w:val="0"/>
        <w:kinsoku/>
        <w:wordWrap/>
        <w:overflowPunct/>
        <w:topLinePunct w:val="0"/>
        <w:bidi w:val="0"/>
        <w:snapToGrid w:val="0"/>
        <w:spacing w:line="340" w:lineRule="exact"/>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cstheme="minorEastAsia"/>
          <w:b/>
          <w:color w:val="000000" w:themeColor="text1"/>
          <w:sz w:val="21"/>
          <w:szCs w:val="21"/>
          <w:lang w:val="en-US" w:eastAsia="zh-CN"/>
          <w14:textFill>
            <w14:solidFill>
              <w14:schemeClr w14:val="tx1"/>
            </w14:solidFill>
          </w14:textFill>
        </w:rPr>
        <w:t>阳春</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监狱</w:t>
      </w:r>
    </w:p>
    <w:p>
      <w:pPr>
        <w:pStyle w:val="9"/>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宋体" w:hAnsi="宋体" w:eastAsia="宋体" w:cs="宋体"/>
          <w:b/>
          <w:bCs/>
          <w:color w:val="000000" w:themeColor="text1"/>
          <w:szCs w:val="21"/>
          <w:u w:val="single"/>
          <w:lang w:val="en-US" w:eastAsia="zh-CN"/>
          <w14:textFill>
            <w14:solidFill>
              <w14:schemeClr w14:val="tx1"/>
            </w14:solidFill>
          </w14:textFill>
        </w:rPr>
        <w:t>广东省阳春监狱罪犯外诊执勤民警备勤点服务项目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w:t>
      </w:r>
      <w:r>
        <w:rPr>
          <w:rFonts w:hint="eastAsia" w:asciiTheme="minorEastAsia" w:hAnsiTheme="minorEastAsia" w:cstheme="minorEastAsia"/>
          <w:color w:val="000000" w:themeColor="text1"/>
          <w:sz w:val="21"/>
          <w:szCs w:val="21"/>
          <w:lang w:val="en-US" w:eastAsia="zh-CN"/>
          <w14:textFill>
            <w14:solidFill>
              <w14:schemeClr w14:val="tx1"/>
            </w14:solidFill>
          </w14:textFill>
        </w:rPr>
        <w:t>谈判采购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lang w:val="en-US" w:eastAsia="zh-CN"/>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9264;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60288;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p>
    <w:sectPr>
      <w:footerReference r:id="rId3" w:type="default"/>
      <w:pgSz w:w="11906" w:h="16838"/>
      <w:pgMar w:top="1701" w:right="1531"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1">
    <w:nsid w:val="11336460"/>
    <w:multiLevelType w:val="singleLevel"/>
    <w:tmpl w:val="11336460"/>
    <w:lvl w:ilvl="0" w:tentative="0">
      <w:start w:val="1"/>
      <w:numFmt w:val="chineseCounting"/>
      <w:suff w:val="space"/>
      <w:lvlText w:val="第%1章"/>
      <w:lvlJc w:val="left"/>
      <w:rPr>
        <w:rFonts w:hint="eastAsia"/>
      </w:rPr>
    </w:lvl>
  </w:abstractNum>
  <w:abstractNum w:abstractNumId="2">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3">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7E6231"/>
    <w:rsid w:val="00A31A95"/>
    <w:rsid w:val="00E21113"/>
    <w:rsid w:val="00EE48ED"/>
    <w:rsid w:val="010C50BF"/>
    <w:rsid w:val="0155715C"/>
    <w:rsid w:val="01C728D0"/>
    <w:rsid w:val="029414ED"/>
    <w:rsid w:val="03356B49"/>
    <w:rsid w:val="03F95B09"/>
    <w:rsid w:val="04580364"/>
    <w:rsid w:val="04814D9C"/>
    <w:rsid w:val="04C27B6C"/>
    <w:rsid w:val="04D76B7C"/>
    <w:rsid w:val="05601E08"/>
    <w:rsid w:val="064E0736"/>
    <w:rsid w:val="0657338B"/>
    <w:rsid w:val="06A601E1"/>
    <w:rsid w:val="079642AF"/>
    <w:rsid w:val="07A40D36"/>
    <w:rsid w:val="07C871BD"/>
    <w:rsid w:val="08070F2A"/>
    <w:rsid w:val="08084801"/>
    <w:rsid w:val="08F6786C"/>
    <w:rsid w:val="08FF4AC8"/>
    <w:rsid w:val="09657090"/>
    <w:rsid w:val="09C22DF1"/>
    <w:rsid w:val="0A034C37"/>
    <w:rsid w:val="0A0A2BDB"/>
    <w:rsid w:val="0A0F7BC1"/>
    <w:rsid w:val="0A663458"/>
    <w:rsid w:val="0AC173FC"/>
    <w:rsid w:val="0B3C2B55"/>
    <w:rsid w:val="0BC5664A"/>
    <w:rsid w:val="0BDA4A8E"/>
    <w:rsid w:val="0BF91E6C"/>
    <w:rsid w:val="0C032ED5"/>
    <w:rsid w:val="0C373B85"/>
    <w:rsid w:val="0CAD59F1"/>
    <w:rsid w:val="0D226E45"/>
    <w:rsid w:val="0D934A87"/>
    <w:rsid w:val="0DC8217B"/>
    <w:rsid w:val="0F144B15"/>
    <w:rsid w:val="0F1B3E67"/>
    <w:rsid w:val="0F1F349D"/>
    <w:rsid w:val="0F444DAE"/>
    <w:rsid w:val="103A6EF2"/>
    <w:rsid w:val="103C2C38"/>
    <w:rsid w:val="10624AF0"/>
    <w:rsid w:val="10662DEA"/>
    <w:rsid w:val="108C2E8A"/>
    <w:rsid w:val="11216B9A"/>
    <w:rsid w:val="11B25927"/>
    <w:rsid w:val="123D6A4D"/>
    <w:rsid w:val="1245410C"/>
    <w:rsid w:val="12531FF1"/>
    <w:rsid w:val="125F48C7"/>
    <w:rsid w:val="1274634C"/>
    <w:rsid w:val="1397165D"/>
    <w:rsid w:val="144F3135"/>
    <w:rsid w:val="14F77FDF"/>
    <w:rsid w:val="155F7ECD"/>
    <w:rsid w:val="15F50B08"/>
    <w:rsid w:val="16170DC7"/>
    <w:rsid w:val="162747D4"/>
    <w:rsid w:val="16413E71"/>
    <w:rsid w:val="16737FD7"/>
    <w:rsid w:val="16A2035A"/>
    <w:rsid w:val="16B31506"/>
    <w:rsid w:val="16F22024"/>
    <w:rsid w:val="16F50701"/>
    <w:rsid w:val="1793634E"/>
    <w:rsid w:val="17FF7344"/>
    <w:rsid w:val="183405E1"/>
    <w:rsid w:val="186D7D0F"/>
    <w:rsid w:val="18A57A85"/>
    <w:rsid w:val="18BF5150"/>
    <w:rsid w:val="18D709F9"/>
    <w:rsid w:val="19217460"/>
    <w:rsid w:val="19C1544E"/>
    <w:rsid w:val="19DA1D52"/>
    <w:rsid w:val="1B03180F"/>
    <w:rsid w:val="1B34727B"/>
    <w:rsid w:val="1BED1A6A"/>
    <w:rsid w:val="1BFA5FCE"/>
    <w:rsid w:val="1CCC0310"/>
    <w:rsid w:val="1D581D2E"/>
    <w:rsid w:val="1D926F05"/>
    <w:rsid w:val="1E450B58"/>
    <w:rsid w:val="1E6FDFE3"/>
    <w:rsid w:val="1EA315FC"/>
    <w:rsid w:val="1EAF3611"/>
    <w:rsid w:val="1F23249E"/>
    <w:rsid w:val="201828BE"/>
    <w:rsid w:val="20947A18"/>
    <w:rsid w:val="21121746"/>
    <w:rsid w:val="21504546"/>
    <w:rsid w:val="21550B1D"/>
    <w:rsid w:val="21A03B8D"/>
    <w:rsid w:val="21A3268F"/>
    <w:rsid w:val="21C36F1F"/>
    <w:rsid w:val="21F7526F"/>
    <w:rsid w:val="21FA54BE"/>
    <w:rsid w:val="22854441"/>
    <w:rsid w:val="22864F50"/>
    <w:rsid w:val="22874A56"/>
    <w:rsid w:val="22F36F51"/>
    <w:rsid w:val="2306585D"/>
    <w:rsid w:val="24D033F7"/>
    <w:rsid w:val="24D43041"/>
    <w:rsid w:val="24FD7E6C"/>
    <w:rsid w:val="25543136"/>
    <w:rsid w:val="255C570C"/>
    <w:rsid w:val="25E67716"/>
    <w:rsid w:val="26132350"/>
    <w:rsid w:val="264F26CE"/>
    <w:rsid w:val="265E0F6A"/>
    <w:rsid w:val="27344FB2"/>
    <w:rsid w:val="27374BB1"/>
    <w:rsid w:val="27535EA0"/>
    <w:rsid w:val="2758460E"/>
    <w:rsid w:val="27832B2E"/>
    <w:rsid w:val="27C17877"/>
    <w:rsid w:val="27F6153F"/>
    <w:rsid w:val="28A27EE1"/>
    <w:rsid w:val="28FE4B07"/>
    <w:rsid w:val="29421331"/>
    <w:rsid w:val="29DE211C"/>
    <w:rsid w:val="2A270A75"/>
    <w:rsid w:val="2AA661B2"/>
    <w:rsid w:val="2B4A78DA"/>
    <w:rsid w:val="2C627AC8"/>
    <w:rsid w:val="2CBB4C43"/>
    <w:rsid w:val="2D2B4C40"/>
    <w:rsid w:val="2D5007B8"/>
    <w:rsid w:val="2D7B5115"/>
    <w:rsid w:val="2D8E4F24"/>
    <w:rsid w:val="2DBC2E0A"/>
    <w:rsid w:val="2EA43CCB"/>
    <w:rsid w:val="2EB11191"/>
    <w:rsid w:val="2EC326A0"/>
    <w:rsid w:val="2F062F75"/>
    <w:rsid w:val="2F2A073D"/>
    <w:rsid w:val="2F2F0429"/>
    <w:rsid w:val="2F864F24"/>
    <w:rsid w:val="2FB478F7"/>
    <w:rsid w:val="2FC95D81"/>
    <w:rsid w:val="2FE91EBB"/>
    <w:rsid w:val="302A63DA"/>
    <w:rsid w:val="303B299D"/>
    <w:rsid w:val="31006CD9"/>
    <w:rsid w:val="31041AAE"/>
    <w:rsid w:val="310606C6"/>
    <w:rsid w:val="314E5437"/>
    <w:rsid w:val="318656D8"/>
    <w:rsid w:val="32920392"/>
    <w:rsid w:val="32EE5A09"/>
    <w:rsid w:val="332D2CD8"/>
    <w:rsid w:val="33597986"/>
    <w:rsid w:val="34364FAB"/>
    <w:rsid w:val="34C03825"/>
    <w:rsid w:val="34C26B6D"/>
    <w:rsid w:val="34CA1D82"/>
    <w:rsid w:val="34EB7449"/>
    <w:rsid w:val="350462B9"/>
    <w:rsid w:val="3537160E"/>
    <w:rsid w:val="36C84719"/>
    <w:rsid w:val="3763592E"/>
    <w:rsid w:val="37B54E1D"/>
    <w:rsid w:val="37B81BEC"/>
    <w:rsid w:val="384C022E"/>
    <w:rsid w:val="38787AEA"/>
    <w:rsid w:val="38F92A66"/>
    <w:rsid w:val="3A06368D"/>
    <w:rsid w:val="3A5E1050"/>
    <w:rsid w:val="3A8676EF"/>
    <w:rsid w:val="3B0E690B"/>
    <w:rsid w:val="3B2A5C2E"/>
    <w:rsid w:val="3BFD79BE"/>
    <w:rsid w:val="3C4B20D6"/>
    <w:rsid w:val="3D0E3FF6"/>
    <w:rsid w:val="3D150CAC"/>
    <w:rsid w:val="3D566D68"/>
    <w:rsid w:val="3DC84A9A"/>
    <w:rsid w:val="3DEA06D8"/>
    <w:rsid w:val="3DFE6052"/>
    <w:rsid w:val="3EF24ED3"/>
    <w:rsid w:val="3F1266B3"/>
    <w:rsid w:val="3F1E66CB"/>
    <w:rsid w:val="3FB21705"/>
    <w:rsid w:val="3FCB5625"/>
    <w:rsid w:val="3FE77A82"/>
    <w:rsid w:val="3FEB148F"/>
    <w:rsid w:val="4017186C"/>
    <w:rsid w:val="40D2314A"/>
    <w:rsid w:val="411869F0"/>
    <w:rsid w:val="412B3BD0"/>
    <w:rsid w:val="41711287"/>
    <w:rsid w:val="42631F41"/>
    <w:rsid w:val="42652F39"/>
    <w:rsid w:val="42FD12FF"/>
    <w:rsid w:val="435726A3"/>
    <w:rsid w:val="43F176D1"/>
    <w:rsid w:val="43F7549F"/>
    <w:rsid w:val="44074471"/>
    <w:rsid w:val="44327C43"/>
    <w:rsid w:val="45020FFD"/>
    <w:rsid w:val="457F0391"/>
    <w:rsid w:val="458E49C6"/>
    <w:rsid w:val="45C95A5F"/>
    <w:rsid w:val="468E2CEF"/>
    <w:rsid w:val="46962D3D"/>
    <w:rsid w:val="46F05C0A"/>
    <w:rsid w:val="46FA6734"/>
    <w:rsid w:val="47007902"/>
    <w:rsid w:val="47502192"/>
    <w:rsid w:val="475F655F"/>
    <w:rsid w:val="47966D99"/>
    <w:rsid w:val="47C45178"/>
    <w:rsid w:val="47FA557C"/>
    <w:rsid w:val="487E065C"/>
    <w:rsid w:val="48C37DF8"/>
    <w:rsid w:val="497E3370"/>
    <w:rsid w:val="4A0A5682"/>
    <w:rsid w:val="4AB309C4"/>
    <w:rsid w:val="4B1B2583"/>
    <w:rsid w:val="4C761C4E"/>
    <w:rsid w:val="4C7B4010"/>
    <w:rsid w:val="4CC911A2"/>
    <w:rsid w:val="4CE06E7B"/>
    <w:rsid w:val="4D3648E2"/>
    <w:rsid w:val="4D4A51B9"/>
    <w:rsid w:val="4DF45D2F"/>
    <w:rsid w:val="4E025678"/>
    <w:rsid w:val="4E306D68"/>
    <w:rsid w:val="4E606EB9"/>
    <w:rsid w:val="4E823A4B"/>
    <w:rsid w:val="4EB20057"/>
    <w:rsid w:val="4F3E14BF"/>
    <w:rsid w:val="4F460F9A"/>
    <w:rsid w:val="4F48339E"/>
    <w:rsid w:val="4FB67A4E"/>
    <w:rsid w:val="4FB9377E"/>
    <w:rsid w:val="50356E5C"/>
    <w:rsid w:val="50D85556"/>
    <w:rsid w:val="515E7A70"/>
    <w:rsid w:val="516D362E"/>
    <w:rsid w:val="517B4F66"/>
    <w:rsid w:val="51C90977"/>
    <w:rsid w:val="5209190E"/>
    <w:rsid w:val="534D7540"/>
    <w:rsid w:val="538D36A5"/>
    <w:rsid w:val="53A036D1"/>
    <w:rsid w:val="53B264F4"/>
    <w:rsid w:val="54117BA3"/>
    <w:rsid w:val="54561298"/>
    <w:rsid w:val="54AA0F87"/>
    <w:rsid w:val="54B57A63"/>
    <w:rsid w:val="54F77316"/>
    <w:rsid w:val="556361ED"/>
    <w:rsid w:val="55DD13B2"/>
    <w:rsid w:val="55E72FFC"/>
    <w:rsid w:val="568115B4"/>
    <w:rsid w:val="5759195F"/>
    <w:rsid w:val="577B5528"/>
    <w:rsid w:val="57A64294"/>
    <w:rsid w:val="57BB0065"/>
    <w:rsid w:val="587B3035"/>
    <w:rsid w:val="589243D9"/>
    <w:rsid w:val="59151AC1"/>
    <w:rsid w:val="592F1A5A"/>
    <w:rsid w:val="59DA2EC6"/>
    <w:rsid w:val="59F138CC"/>
    <w:rsid w:val="5ABF08D9"/>
    <w:rsid w:val="5ACF512A"/>
    <w:rsid w:val="5B4A21F6"/>
    <w:rsid w:val="5BCD10E7"/>
    <w:rsid w:val="5C146BE0"/>
    <w:rsid w:val="5C295F9B"/>
    <w:rsid w:val="5CA716BB"/>
    <w:rsid w:val="5CA85FC8"/>
    <w:rsid w:val="5D6F667D"/>
    <w:rsid w:val="5DC37BE9"/>
    <w:rsid w:val="5E097B9A"/>
    <w:rsid w:val="5E7B1081"/>
    <w:rsid w:val="5EB66D4F"/>
    <w:rsid w:val="5F5B04B2"/>
    <w:rsid w:val="601F6302"/>
    <w:rsid w:val="60B318CD"/>
    <w:rsid w:val="60FD5DCB"/>
    <w:rsid w:val="61870AAF"/>
    <w:rsid w:val="619F122B"/>
    <w:rsid w:val="61D80592"/>
    <w:rsid w:val="61FC6373"/>
    <w:rsid w:val="629D2314"/>
    <w:rsid w:val="62DA79EE"/>
    <w:rsid w:val="63257394"/>
    <w:rsid w:val="637C437A"/>
    <w:rsid w:val="63B9340E"/>
    <w:rsid w:val="6455458D"/>
    <w:rsid w:val="655B23EB"/>
    <w:rsid w:val="659D3C90"/>
    <w:rsid w:val="65A31D22"/>
    <w:rsid w:val="663E38C4"/>
    <w:rsid w:val="665C2CD3"/>
    <w:rsid w:val="667B2FA0"/>
    <w:rsid w:val="66BF6C53"/>
    <w:rsid w:val="67E356E8"/>
    <w:rsid w:val="680C357D"/>
    <w:rsid w:val="681C3510"/>
    <w:rsid w:val="68E34353"/>
    <w:rsid w:val="69137A6D"/>
    <w:rsid w:val="692C1847"/>
    <w:rsid w:val="698424F1"/>
    <w:rsid w:val="698F20E1"/>
    <w:rsid w:val="699B085F"/>
    <w:rsid w:val="69AA012B"/>
    <w:rsid w:val="69CB1013"/>
    <w:rsid w:val="6A3A6625"/>
    <w:rsid w:val="6A954C0D"/>
    <w:rsid w:val="6AA8021D"/>
    <w:rsid w:val="6BC46931"/>
    <w:rsid w:val="6C24177E"/>
    <w:rsid w:val="6D0D7448"/>
    <w:rsid w:val="6E05221F"/>
    <w:rsid w:val="6E3C39C3"/>
    <w:rsid w:val="6E4F680D"/>
    <w:rsid w:val="6E99418E"/>
    <w:rsid w:val="6E9F61F7"/>
    <w:rsid w:val="6EAE12E7"/>
    <w:rsid w:val="6FD13409"/>
    <w:rsid w:val="703334D2"/>
    <w:rsid w:val="70391CB1"/>
    <w:rsid w:val="70997197"/>
    <w:rsid w:val="711B410D"/>
    <w:rsid w:val="71AD3799"/>
    <w:rsid w:val="71AD6345"/>
    <w:rsid w:val="71BF53D6"/>
    <w:rsid w:val="71ED654D"/>
    <w:rsid w:val="720C154E"/>
    <w:rsid w:val="72150491"/>
    <w:rsid w:val="721A1E72"/>
    <w:rsid w:val="721F7183"/>
    <w:rsid w:val="72B5319C"/>
    <w:rsid w:val="72C63C17"/>
    <w:rsid w:val="72F025FA"/>
    <w:rsid w:val="7353136B"/>
    <w:rsid w:val="735340BF"/>
    <w:rsid w:val="73656151"/>
    <w:rsid w:val="73726B12"/>
    <w:rsid w:val="739853EE"/>
    <w:rsid w:val="73FF0A5F"/>
    <w:rsid w:val="745449E5"/>
    <w:rsid w:val="746C7709"/>
    <w:rsid w:val="74747C07"/>
    <w:rsid w:val="74FC0165"/>
    <w:rsid w:val="750D2C53"/>
    <w:rsid w:val="755775BF"/>
    <w:rsid w:val="75AD4B6D"/>
    <w:rsid w:val="762A42EA"/>
    <w:rsid w:val="76595236"/>
    <w:rsid w:val="76AF11FD"/>
    <w:rsid w:val="77036E83"/>
    <w:rsid w:val="77192436"/>
    <w:rsid w:val="77350F71"/>
    <w:rsid w:val="7745190F"/>
    <w:rsid w:val="774E4BD7"/>
    <w:rsid w:val="77904BBB"/>
    <w:rsid w:val="7792399A"/>
    <w:rsid w:val="77A16D3E"/>
    <w:rsid w:val="77ACE0F0"/>
    <w:rsid w:val="77D91C95"/>
    <w:rsid w:val="77DA4DBB"/>
    <w:rsid w:val="77FF0EFA"/>
    <w:rsid w:val="78256715"/>
    <w:rsid w:val="78B25D50"/>
    <w:rsid w:val="7925510A"/>
    <w:rsid w:val="79875791"/>
    <w:rsid w:val="7AB36564"/>
    <w:rsid w:val="7AC529A7"/>
    <w:rsid w:val="7AF95F25"/>
    <w:rsid w:val="7B3F258A"/>
    <w:rsid w:val="7B611103"/>
    <w:rsid w:val="7BBA695C"/>
    <w:rsid w:val="7BE42C7E"/>
    <w:rsid w:val="7C7B4640"/>
    <w:rsid w:val="7CCC350E"/>
    <w:rsid w:val="7D5C12AC"/>
    <w:rsid w:val="7DAF105B"/>
    <w:rsid w:val="7DC6575A"/>
    <w:rsid w:val="7DED7024"/>
    <w:rsid w:val="7EBE6EC1"/>
    <w:rsid w:val="7EC040B2"/>
    <w:rsid w:val="7F0F0234"/>
    <w:rsid w:val="7F312660"/>
    <w:rsid w:val="7F3B40D5"/>
    <w:rsid w:val="7FAD3488"/>
    <w:rsid w:val="7FBCB548"/>
    <w:rsid w:val="ADFF1335"/>
    <w:rsid w:val="DCFF5DB5"/>
    <w:rsid w:val="DDB66511"/>
    <w:rsid w:val="EF9DC825"/>
    <w:rsid w:val="FBEBF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paragraph" w:styleId="5">
    <w:name w:val="heading 3"/>
    <w:basedOn w:val="1"/>
    <w:next w:val="1"/>
    <w:qFormat/>
    <w:uiPriority w:val="0"/>
    <w:pPr>
      <w:keepNext/>
      <w:outlineLvl w:val="2"/>
    </w:pPr>
    <w:rPr>
      <w:rFonts w:ascii="楷体_GB2312" w:hAnsi="宋体" w:eastAsia="黑体"/>
      <w:b/>
      <w:bCs/>
      <w:sz w:val="32"/>
    </w:rPr>
  </w:style>
  <w:style w:type="character" w:default="1" w:styleId="1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rPr>
      <w:sz w:val="24"/>
    </w:rPr>
  </w:style>
  <w:style w:type="paragraph" w:styleId="6">
    <w:name w:val="Normal Indent"/>
    <w:basedOn w:val="1"/>
    <w:next w:val="1"/>
    <w:qFormat/>
    <w:uiPriority w:val="0"/>
    <w:pPr>
      <w:ind w:firstLine="420"/>
    </w:pPr>
    <w:rPr>
      <w:szCs w:val="20"/>
    </w:rPr>
  </w:style>
  <w:style w:type="paragraph" w:styleId="7">
    <w:name w:val="Body Text Indent"/>
    <w:basedOn w:val="1"/>
    <w:next w:val="8"/>
    <w:qFormat/>
    <w:uiPriority w:val="0"/>
    <w:pPr>
      <w:ind w:left="420"/>
    </w:pPr>
  </w:style>
  <w:style w:type="paragraph" w:styleId="8">
    <w:name w:val="envelope return"/>
    <w:basedOn w:val="1"/>
    <w:qFormat/>
    <w:uiPriority w:val="0"/>
    <w:pPr>
      <w:autoSpaceDE/>
      <w:autoSpaceDN/>
      <w:adjustRightInd/>
      <w:snapToGrid w:val="0"/>
      <w:jc w:val="both"/>
    </w:pPr>
    <w:rPr>
      <w:rFonts w:ascii="Arial" w:hAnsi="Arial" w:cs="Arial"/>
      <w:kern w:val="2"/>
      <w:sz w:val="21"/>
    </w:r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7"/>
    <w:qFormat/>
    <w:uiPriority w:val="0"/>
    <w:pPr>
      <w:widowControl/>
      <w:spacing w:after="120"/>
      <w:ind w:leftChars="200" w:firstLine="420" w:firstLineChars="200"/>
      <w:jc w:val="left"/>
    </w:pPr>
    <w:rPr>
      <w:rFonts w:ascii="Times New Roman" w:hAnsi="Times New Roman"/>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after="120"/>
      <w:jc w:val="center"/>
    </w:pPr>
    <w:rPr>
      <w:b/>
      <w:bCs/>
      <w:caps/>
      <w:sz w:val="28"/>
      <w:szCs w:val="28"/>
    </w:rPr>
  </w:style>
  <w:style w:type="paragraph" w:styleId="14">
    <w:name w:val="Normal (Web)"/>
    <w:basedOn w:val="1"/>
    <w:qFormat/>
    <w:uiPriority w:val="0"/>
    <w:rPr>
      <w:sz w:val="24"/>
    </w:rPr>
  </w:style>
  <w:style w:type="character" w:styleId="16">
    <w:name w:val="Hyperlink"/>
    <w:qFormat/>
    <w:uiPriority w:val="99"/>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表格文字"/>
    <w:basedOn w:val="1"/>
    <w:qFormat/>
    <w:uiPriority w:val="0"/>
    <w:pPr>
      <w:spacing w:before="25" w:after="25"/>
      <w:jc w:val="left"/>
    </w:pPr>
    <w:rPr>
      <w:bCs/>
      <w:spacing w:val="10"/>
      <w:kern w:val="0"/>
      <w:szCs w:val="20"/>
    </w:rPr>
  </w:style>
  <w:style w:type="paragraph" w:customStyle="1" w:styleId="20">
    <w:name w:val="_Style 3"/>
    <w:basedOn w:val="1"/>
    <w:qFormat/>
    <w:uiPriority w:val="0"/>
    <w:pPr>
      <w:ind w:firstLine="420" w:firstLineChars="200"/>
    </w:pPr>
    <w:rPr>
      <w:sz w:val="20"/>
    </w:rPr>
  </w:style>
  <w:style w:type="paragraph" w:customStyle="1" w:styleId="21">
    <w:name w:val="List Paragraph"/>
    <w:basedOn w:val="1"/>
    <w:qFormat/>
    <w:uiPriority w:val="34"/>
    <w:pPr>
      <w:ind w:firstLine="420" w:firstLineChars="200"/>
    </w:pPr>
  </w:style>
  <w:style w:type="paragraph" w:customStyle="1" w:styleId="22">
    <w:name w:val="列出段落1"/>
    <w:basedOn w:val="1"/>
    <w:qFormat/>
    <w:uiPriority w:val="34"/>
    <w:pPr>
      <w:ind w:firstLine="420" w:firstLineChars="200"/>
    </w:pPr>
  </w:style>
  <w:style w:type="paragraph" w:customStyle="1" w:styleId="23">
    <w:name w:val="保留正文"/>
    <w:basedOn w:val="2"/>
    <w:qFormat/>
    <w:uiPriority w:val="0"/>
    <w:pPr>
      <w:keepNext/>
      <w:spacing w:after="160"/>
    </w:pPr>
    <w:rPr>
      <w:sz w:val="21"/>
    </w:rPr>
  </w:style>
  <w:style w:type="character" w:customStyle="1" w:styleId="24">
    <w:name w:val="NormalCharacter"/>
    <w:semiHidden/>
    <w:qFormat/>
    <w:uiPriority w:val="99"/>
  </w:style>
  <w:style w:type="paragraph" w:customStyle="1" w:styleId="25">
    <w:name w:val="正文正"/>
    <w:basedOn w:val="1"/>
    <w:qFormat/>
    <w:uiPriority w:val="0"/>
    <w:pPr>
      <w:spacing w:line="560" w:lineRule="exact"/>
      <w:ind w:firstLine="561"/>
    </w:pPr>
    <w:rPr>
      <w:rFonts w:eastAsia="仿宋_GB2312"/>
      <w:sz w:val="28"/>
      <w:szCs w:val="24"/>
    </w:rPr>
  </w:style>
  <w:style w:type="character" w:customStyle="1" w:styleId="26">
    <w:name w:val="fontstyle01"/>
    <w:basedOn w:val="15"/>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13</Pages>
  <Words>4564</Words>
  <Characters>4591</Characters>
  <Lines>0</Lines>
  <Paragraphs>0</Paragraphs>
  <TotalTime>0</TotalTime>
  <ScaleCrop>false</ScaleCrop>
  <LinksUpToDate>false</LinksUpToDate>
  <CharactersWithSpaces>4832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2022-06-28T02:07:00Z</dcterms:created>
  <dc:creator>何坤锋</dc:creator>
  <cp:lastModifiedBy>TANG</cp:lastModifiedBy>
  <cp:lastPrinted>2025-05-28T18:58:00Z</cp:lastPrinted>
  <dcterms:modified xsi:type="dcterms:W3CDTF">2025-06-03T03:31:18Z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DEC0E55DFFBA42388D26AF21CA1BE732_13</vt:lpwstr>
  </property>
  <property fmtid="{D5CDD505-2E9C-101B-9397-08002B2CF9AE}" pid="4" name="KSOTemplateDocerSaveRecord">
    <vt:lpwstr>eyJoZGlkIjoiMmQ2ZDZhYzdlMzM4N2E2ZDVlYzE5ODI1MWUwMDI0YTMifQ==</vt:lpwstr>
  </property>
</Properties>
</file>