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5249A">
      <w:pPr>
        <w:rPr>
          <w:rFonts w:hint="eastAsia" w:ascii="宋体" w:hAnsi="宋体" w:eastAsia="宋体"/>
          <w:lang w:val="en-US" w:eastAsia="zh-CN"/>
        </w:rPr>
      </w:pPr>
    </w:p>
    <w:p w14:paraId="597AD88A">
      <w:pPr>
        <w:spacing w:line="360" w:lineRule="auto"/>
        <w:jc w:val="center"/>
        <w:rPr>
          <w:rFonts w:ascii="宋体" w:hAnsi="宋体"/>
          <w:szCs w:val="21"/>
        </w:rPr>
      </w:pPr>
    </w:p>
    <w:p w14:paraId="148B28FA">
      <w:pPr>
        <w:spacing w:line="360" w:lineRule="auto"/>
        <w:jc w:val="center"/>
        <w:rPr>
          <w:rFonts w:ascii="宋体" w:hAnsi="宋体"/>
          <w:szCs w:val="21"/>
        </w:rPr>
      </w:pPr>
    </w:p>
    <w:p w14:paraId="6819ADC8">
      <w:pPr>
        <w:jc w:val="center"/>
        <w:rPr>
          <w:rFonts w:ascii="宋体" w:hAnsi="宋体"/>
          <w:szCs w:val="21"/>
        </w:rPr>
      </w:pPr>
    </w:p>
    <w:p w14:paraId="71A09F9B">
      <w:pPr>
        <w:snapToGrid w:val="0"/>
        <w:spacing w:before="156" w:beforeLines="50"/>
        <w:jc w:val="center"/>
        <w:rPr>
          <w:rFonts w:ascii="宋体" w:hAnsi="宋体"/>
          <w:b/>
          <w:szCs w:val="21"/>
        </w:rPr>
      </w:pPr>
    </w:p>
    <w:p w14:paraId="59B4679B">
      <w:pPr>
        <w:snapToGrid w:val="0"/>
        <w:spacing w:before="156" w:beforeLines="50"/>
        <w:jc w:val="center"/>
        <w:rPr>
          <w:rFonts w:ascii="宋体" w:hAnsi="宋体"/>
          <w:b/>
          <w:sz w:val="84"/>
          <w:szCs w:val="84"/>
        </w:rPr>
      </w:pPr>
      <w:r>
        <w:rPr>
          <w:rFonts w:hint="eastAsia" w:ascii="宋体" w:hAnsi="宋体"/>
          <w:b/>
          <w:sz w:val="84"/>
          <w:szCs w:val="84"/>
        </w:rPr>
        <w:t>零散采购文件</w:t>
      </w:r>
    </w:p>
    <w:p w14:paraId="770D72F1">
      <w:pPr>
        <w:spacing w:line="360" w:lineRule="auto"/>
        <w:jc w:val="center"/>
        <w:rPr>
          <w:rFonts w:ascii="宋体" w:hAnsi="宋体"/>
          <w:szCs w:val="21"/>
        </w:rPr>
      </w:pPr>
    </w:p>
    <w:p w14:paraId="44254175">
      <w:pPr>
        <w:spacing w:line="360" w:lineRule="auto"/>
        <w:jc w:val="center"/>
        <w:rPr>
          <w:rFonts w:ascii="宋体" w:hAnsi="宋体"/>
          <w:szCs w:val="21"/>
        </w:rPr>
      </w:pPr>
    </w:p>
    <w:p w14:paraId="5C393562">
      <w:pPr>
        <w:spacing w:line="360" w:lineRule="auto"/>
        <w:jc w:val="center"/>
        <w:rPr>
          <w:rFonts w:ascii="宋体" w:hAnsi="宋体"/>
          <w:szCs w:val="21"/>
        </w:rPr>
      </w:pPr>
    </w:p>
    <w:p w14:paraId="4A3798DF">
      <w:pPr>
        <w:spacing w:line="360" w:lineRule="auto"/>
        <w:jc w:val="center"/>
        <w:rPr>
          <w:rFonts w:ascii="宋体" w:hAnsi="宋体"/>
          <w:szCs w:val="21"/>
        </w:rPr>
      </w:pPr>
    </w:p>
    <w:p w14:paraId="1FA32C68">
      <w:pPr>
        <w:spacing w:line="360" w:lineRule="auto"/>
        <w:jc w:val="left"/>
        <w:rPr>
          <w:rFonts w:ascii="宋体" w:hAnsi="宋体"/>
          <w:b/>
          <w:bCs/>
          <w:sz w:val="28"/>
          <w:szCs w:val="32"/>
        </w:rPr>
      </w:pPr>
      <w:r>
        <w:rPr>
          <w:rFonts w:ascii="宋体" w:hAnsi="宋体"/>
          <w:b/>
          <w:bCs/>
          <w:sz w:val="28"/>
          <w:szCs w:val="32"/>
        </w:rPr>
        <w:t>采购方式：</w:t>
      </w:r>
      <w:r>
        <w:rPr>
          <w:rFonts w:hint="eastAsia" w:ascii="宋体" w:hAnsi="宋体"/>
          <w:b/>
          <w:bCs/>
          <w:sz w:val="28"/>
          <w:szCs w:val="32"/>
        </w:rPr>
        <w:t>线上</w:t>
      </w:r>
      <w:r>
        <w:rPr>
          <w:rFonts w:ascii="宋体" w:hAnsi="宋体"/>
          <w:b/>
          <w:bCs/>
          <w:sz w:val="28"/>
          <w:szCs w:val="32"/>
        </w:rPr>
        <w:t>竞价</w:t>
      </w:r>
    </w:p>
    <w:p w14:paraId="0CEEE744">
      <w:pPr>
        <w:spacing w:line="360" w:lineRule="auto"/>
        <w:jc w:val="left"/>
        <w:rPr>
          <w:rFonts w:hint="eastAsia" w:ascii="宋体" w:hAnsi="宋体" w:eastAsia="宋体"/>
          <w:b/>
          <w:bCs/>
          <w:sz w:val="28"/>
          <w:szCs w:val="32"/>
          <w:lang w:eastAsia="zh-CN"/>
        </w:rPr>
      </w:pPr>
      <w:r>
        <w:rPr>
          <w:rFonts w:ascii="宋体" w:hAnsi="宋体"/>
          <w:b/>
          <w:bCs/>
          <w:sz w:val="28"/>
          <w:szCs w:val="32"/>
        </w:rPr>
        <w:t>项目名称：</w:t>
      </w:r>
      <w:r>
        <w:rPr>
          <w:rFonts w:hint="eastAsia" w:ascii="宋体" w:hAnsi="宋体"/>
          <w:b/>
          <w:bCs/>
          <w:sz w:val="28"/>
          <w:szCs w:val="32"/>
          <w:u w:val="single"/>
          <w:lang w:eastAsia="zh-CN"/>
        </w:rPr>
        <w:t>广裕阳春定制类及实训中心会议讨论室办公家具采购项目</w:t>
      </w:r>
    </w:p>
    <w:p w14:paraId="754A65D0">
      <w:pPr>
        <w:spacing w:line="360" w:lineRule="auto"/>
        <w:jc w:val="left"/>
        <w:rPr>
          <w:rFonts w:ascii="宋体" w:hAnsi="宋体"/>
          <w:b/>
          <w:bCs/>
          <w:szCs w:val="21"/>
          <w:u w:val="single"/>
        </w:rPr>
      </w:pPr>
    </w:p>
    <w:p w14:paraId="0C7120E3">
      <w:pPr>
        <w:autoSpaceDE w:val="0"/>
        <w:autoSpaceDN w:val="0"/>
        <w:adjustRightInd w:val="0"/>
        <w:snapToGrid w:val="0"/>
        <w:spacing w:before="156" w:beforeLines="50" w:after="156" w:afterLines="50" w:line="360" w:lineRule="auto"/>
        <w:jc w:val="center"/>
        <w:rPr>
          <w:rFonts w:ascii="宋体" w:hAnsi="宋体" w:cs="华文中宋"/>
          <w:szCs w:val="21"/>
        </w:rPr>
      </w:pPr>
    </w:p>
    <w:p w14:paraId="32CFF420">
      <w:pPr>
        <w:autoSpaceDE w:val="0"/>
        <w:autoSpaceDN w:val="0"/>
        <w:adjustRightInd w:val="0"/>
        <w:snapToGrid w:val="0"/>
        <w:spacing w:before="156" w:beforeLines="50" w:after="156" w:afterLines="50" w:line="360" w:lineRule="auto"/>
        <w:jc w:val="center"/>
        <w:rPr>
          <w:rFonts w:ascii="宋体" w:hAnsi="宋体" w:cs="华文中宋"/>
          <w:szCs w:val="21"/>
        </w:rPr>
      </w:pPr>
    </w:p>
    <w:p w14:paraId="3C12F195">
      <w:pPr>
        <w:autoSpaceDE w:val="0"/>
        <w:autoSpaceDN w:val="0"/>
        <w:adjustRightInd w:val="0"/>
        <w:snapToGrid w:val="0"/>
        <w:spacing w:before="156" w:beforeLines="50" w:after="156" w:afterLines="50" w:line="360" w:lineRule="auto"/>
        <w:jc w:val="center"/>
        <w:rPr>
          <w:rFonts w:ascii="宋体" w:hAnsi="宋体" w:cs="华文中宋"/>
          <w:szCs w:val="21"/>
        </w:rPr>
      </w:pPr>
    </w:p>
    <w:p w14:paraId="771F5BD3">
      <w:pPr>
        <w:autoSpaceDE w:val="0"/>
        <w:autoSpaceDN w:val="0"/>
        <w:adjustRightInd w:val="0"/>
        <w:snapToGrid w:val="0"/>
        <w:spacing w:line="360" w:lineRule="auto"/>
        <w:ind w:left="420" w:firstLine="420"/>
        <w:jc w:val="center"/>
        <w:rPr>
          <w:rFonts w:hint="eastAsia" w:ascii="宋体" w:hAnsi="宋体" w:eastAsia="宋体"/>
          <w:b/>
          <w:bCs/>
          <w:sz w:val="28"/>
          <w:szCs w:val="32"/>
          <w:lang w:eastAsia="zh-CN"/>
        </w:rPr>
      </w:pPr>
      <w:r>
        <w:rPr>
          <w:rFonts w:hint="eastAsia" w:ascii="宋体" w:hAnsi="宋体"/>
          <w:b/>
          <w:bCs/>
          <w:sz w:val="28"/>
          <w:szCs w:val="32"/>
          <w:lang w:eastAsia="zh-CN"/>
        </w:rPr>
        <w:t>广东省广裕集团阳春实业有限公司</w:t>
      </w:r>
    </w:p>
    <w:p w14:paraId="15582E7D">
      <w:pPr>
        <w:autoSpaceDE w:val="0"/>
        <w:autoSpaceDN w:val="0"/>
        <w:adjustRightInd w:val="0"/>
        <w:snapToGrid w:val="0"/>
        <w:spacing w:line="360" w:lineRule="auto"/>
        <w:ind w:left="420" w:firstLine="420"/>
        <w:jc w:val="center"/>
        <w:rPr>
          <w:rFonts w:ascii="宋体" w:hAnsi="宋体"/>
          <w:b/>
          <w:bCs/>
          <w:sz w:val="28"/>
          <w:szCs w:val="32"/>
        </w:rPr>
      </w:pPr>
      <w:r>
        <w:rPr>
          <w:rFonts w:ascii="宋体" w:hAnsi="宋体"/>
          <w:b/>
          <w:bCs/>
          <w:sz w:val="28"/>
          <w:szCs w:val="32"/>
        </w:rPr>
        <w:t>云采链（广州）信息科技有限公司</w:t>
      </w:r>
    </w:p>
    <w:p w14:paraId="06D217EE">
      <w:pPr>
        <w:autoSpaceDE w:val="0"/>
        <w:autoSpaceDN w:val="0"/>
        <w:adjustRightInd w:val="0"/>
        <w:snapToGrid w:val="0"/>
        <w:spacing w:line="360" w:lineRule="auto"/>
        <w:ind w:left="420" w:firstLine="420"/>
        <w:jc w:val="center"/>
        <w:rPr>
          <w:rFonts w:ascii="宋体" w:hAnsi="宋体"/>
          <w:b/>
          <w:bCs/>
          <w:sz w:val="28"/>
          <w:szCs w:val="32"/>
        </w:rPr>
      </w:pPr>
      <w:r>
        <w:rPr>
          <w:rFonts w:hint="eastAsia" w:ascii="宋体" w:hAnsi="宋体"/>
          <w:b/>
          <w:bCs/>
          <w:sz w:val="28"/>
          <w:szCs w:val="32"/>
        </w:rPr>
        <w:t>二零二四年十二</w:t>
      </w:r>
      <w:r>
        <w:rPr>
          <w:rFonts w:ascii="宋体" w:hAnsi="宋体"/>
          <w:b/>
          <w:bCs/>
          <w:sz w:val="28"/>
          <w:szCs w:val="32"/>
        </w:rPr>
        <w:t>月</w:t>
      </w:r>
    </w:p>
    <w:p w14:paraId="284C771E">
      <w:pPr>
        <w:rPr>
          <w:rFonts w:ascii="宋体" w:hAnsi="宋体"/>
        </w:rPr>
      </w:pPr>
    </w:p>
    <w:p w14:paraId="4E97A341">
      <w:pPr>
        <w:pStyle w:val="23"/>
        <w:autoSpaceDE w:val="0"/>
        <w:autoSpaceDN w:val="0"/>
        <w:adjustRightInd w:val="0"/>
        <w:spacing w:before="0" w:after="0" w:line="360" w:lineRule="auto"/>
        <w:rPr>
          <w:rFonts w:ascii="宋体" w:hAnsi="宋体"/>
        </w:rPr>
      </w:pPr>
      <w:r>
        <w:rPr>
          <w:rFonts w:ascii="宋体" w:hAnsi="宋体"/>
          <w:sz w:val="21"/>
          <w:szCs w:val="21"/>
        </w:rPr>
        <w:br w:type="page"/>
      </w:r>
      <w:r>
        <w:rPr>
          <w:rFonts w:hint="eastAsia" w:ascii="宋体" w:hAnsi="宋体"/>
          <w:lang w:val="zh-CN"/>
        </w:rPr>
        <w:t>第一章 零散采购须知</w:t>
      </w:r>
    </w:p>
    <w:p w14:paraId="4FB4B2D8">
      <w:pPr>
        <w:spacing w:line="360" w:lineRule="auto"/>
        <w:ind w:left="632" w:leftChars="100" w:hanging="422" w:hangingChars="200"/>
        <w:rPr>
          <w:rFonts w:hint="eastAsia" w:ascii="宋体" w:hAnsi="宋体" w:eastAsia="宋体" w:cs="宋体"/>
          <w:szCs w:val="21"/>
          <w:lang w:eastAsia="zh-CN"/>
        </w:rPr>
      </w:pPr>
      <w:r>
        <w:rPr>
          <w:rFonts w:hint="eastAsia" w:ascii="宋体" w:hAnsi="宋体" w:cs="宋体"/>
          <w:b/>
          <w:szCs w:val="21"/>
        </w:rPr>
        <w:t>项目名称：</w:t>
      </w:r>
      <w:r>
        <w:rPr>
          <w:rFonts w:hint="eastAsia" w:ascii="宋体" w:hAnsi="宋体" w:cs="宋体"/>
          <w:szCs w:val="21"/>
          <w:lang w:eastAsia="zh-CN"/>
        </w:rPr>
        <w:t>广裕阳春定制类及实训中心会议讨论室办公家具采购项目</w:t>
      </w:r>
    </w:p>
    <w:p w14:paraId="5BA4165D">
      <w:pPr>
        <w:pStyle w:val="22"/>
        <w:widowControl w:val="0"/>
        <w:numPr>
          <w:ilvl w:val="0"/>
          <w:numId w:val="2"/>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本项目通过云采链线上采购一体化平台进行零散采购，参与项目的供应商必须登录平台进行注册，注册成功后方可参与项目。</w:t>
      </w:r>
    </w:p>
    <w:p w14:paraId="33904DEA">
      <w:pPr>
        <w:pStyle w:val="22"/>
        <w:widowControl w:val="0"/>
        <w:numPr>
          <w:ilvl w:val="0"/>
          <w:numId w:val="2"/>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语言要求</w:t>
      </w:r>
    </w:p>
    <w:p w14:paraId="4AF6A019">
      <w:pPr>
        <w:pStyle w:val="22"/>
        <w:widowControl w:val="0"/>
        <w:spacing w:before="0" w:beforeAutospacing="0" w:after="0" w:afterAutospacing="0" w:line="360" w:lineRule="auto"/>
        <w:ind w:left="630" w:leftChars="100" w:hanging="420" w:hangingChars="200"/>
        <w:jc w:val="both"/>
        <w:rPr>
          <w:sz w:val="21"/>
          <w:szCs w:val="21"/>
        </w:rPr>
      </w:pPr>
      <w:r>
        <w:rPr>
          <w:rFonts w:hint="eastAsia"/>
          <w:kern w:val="2"/>
          <w:sz w:val="21"/>
          <w:szCs w:val="21"/>
          <w:lang w:bidi="ar"/>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4558A6FD">
      <w:pPr>
        <w:pStyle w:val="22"/>
        <w:widowControl w:val="0"/>
        <w:numPr>
          <w:ilvl w:val="0"/>
          <w:numId w:val="2"/>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在云采链平台参与零散采购项目后放弃成交资格超过三次（含三次）的供应商连同该供应商同一法人名下所有公司将被列入平台黑名单，永久不得参与平台的零散采购项目。</w:t>
      </w:r>
    </w:p>
    <w:p w14:paraId="3B78C061">
      <w:pPr>
        <w:pStyle w:val="22"/>
        <w:widowControl w:val="0"/>
        <w:numPr>
          <w:ilvl w:val="0"/>
          <w:numId w:val="2"/>
        </w:numPr>
        <w:spacing w:before="0" w:beforeAutospacing="0" w:after="0" w:afterAutospacing="0" w:line="360" w:lineRule="auto"/>
        <w:ind w:left="632" w:leftChars="100" w:hanging="422" w:hangingChars="200"/>
        <w:jc w:val="both"/>
        <w:rPr>
          <w:sz w:val="21"/>
          <w:szCs w:val="21"/>
        </w:rPr>
      </w:pPr>
      <w:r>
        <w:rPr>
          <w:rFonts w:hint="eastAsia"/>
          <w:b/>
          <w:bCs/>
          <w:kern w:val="2"/>
          <w:sz w:val="21"/>
          <w:szCs w:val="21"/>
          <w:shd w:val="clear" w:color="auto" w:fill="FFFFFF"/>
          <w:lang w:bidi="ar"/>
        </w:rPr>
        <w:t>参与采购人零散采购项目过程中有围标串标等违规情况或因自身原因放弃成交资格的供应商不得再参与采购人重新启动的零散采购项目，有围标串标等违规情况或因自身原因放弃成交资格的供应商将被列入采购人黑名单，一年内不得参与采购人的零散采购项目。</w:t>
      </w:r>
    </w:p>
    <w:p w14:paraId="6545B9B4">
      <w:pPr>
        <w:pStyle w:val="22"/>
        <w:widowControl w:val="0"/>
        <w:numPr>
          <w:ilvl w:val="0"/>
          <w:numId w:val="2"/>
        </w:numPr>
        <w:spacing w:before="0" w:beforeAutospacing="0" w:after="0" w:afterAutospacing="0" w:line="360" w:lineRule="auto"/>
        <w:ind w:left="630" w:leftChars="100" w:hangingChars="200"/>
        <w:jc w:val="both"/>
        <w:rPr>
          <w:kern w:val="2"/>
          <w:sz w:val="21"/>
          <w:szCs w:val="21"/>
          <w:lang w:bidi="ar"/>
        </w:rPr>
      </w:pPr>
      <w:r>
        <w:rPr>
          <w:rFonts w:hint="eastAsia"/>
          <w:kern w:val="2"/>
          <w:sz w:val="21"/>
          <w:szCs w:val="21"/>
          <w:lang w:bidi="ar"/>
        </w:rPr>
        <w:t>零散采购须知</w:t>
      </w:r>
    </w:p>
    <w:p w14:paraId="69AE0F0A">
      <w:pPr>
        <w:pStyle w:val="22"/>
        <w:widowControl w:val="0"/>
        <w:numPr>
          <w:ilvl w:val="0"/>
          <w:numId w:val="3"/>
        </w:numPr>
        <w:spacing w:before="0" w:beforeAutospacing="0" w:after="0" w:afterAutospacing="0" w:line="360" w:lineRule="auto"/>
        <w:ind w:left="632" w:leftChars="100" w:hanging="422" w:hangingChars="200"/>
        <w:jc w:val="both"/>
        <w:rPr>
          <w:b/>
          <w:sz w:val="21"/>
          <w:szCs w:val="21"/>
        </w:rPr>
      </w:pPr>
      <w:r>
        <w:rPr>
          <w:rStyle w:val="29"/>
          <w:rFonts w:hint="eastAsia"/>
          <w:kern w:val="2"/>
          <w:sz w:val="21"/>
          <w:szCs w:val="21"/>
          <w:lang w:bidi="ar"/>
        </w:rPr>
        <w:t>零散采购说明</w:t>
      </w:r>
    </w:p>
    <w:p w14:paraId="7C1381C7">
      <w:pPr>
        <w:pStyle w:val="22"/>
        <w:widowControl w:val="0"/>
        <w:numPr>
          <w:ilvl w:val="0"/>
          <w:numId w:val="4"/>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参与项目的供应商应承担所有与准备和参加项目有关的费用，不</w:t>
      </w:r>
      <w:r>
        <w:rPr>
          <w:rFonts w:hint="eastAsia"/>
          <w:kern w:val="2"/>
          <w:sz w:val="21"/>
          <w:szCs w:val="21"/>
          <w:lang w:eastAsia="zh-TW" w:bidi="ar"/>
        </w:rPr>
        <w:t>论</w:t>
      </w:r>
      <w:r>
        <w:rPr>
          <w:rFonts w:hint="eastAsia"/>
          <w:kern w:val="2"/>
          <w:sz w:val="21"/>
          <w:szCs w:val="21"/>
          <w:lang w:bidi="ar"/>
        </w:rPr>
        <w:t>项目</w:t>
      </w:r>
      <w:r>
        <w:rPr>
          <w:rFonts w:hint="eastAsia"/>
          <w:kern w:val="2"/>
          <w:sz w:val="21"/>
          <w:szCs w:val="21"/>
          <w:lang w:eastAsia="zh-TW" w:bidi="ar"/>
        </w:rPr>
        <w:t>的结果如何</w:t>
      </w:r>
      <w:r>
        <w:rPr>
          <w:rFonts w:hint="eastAsia"/>
          <w:kern w:val="2"/>
          <w:sz w:val="21"/>
          <w:szCs w:val="21"/>
          <w:lang w:bidi="ar"/>
        </w:rPr>
        <w:t>，采购</w:t>
      </w:r>
      <w:r>
        <w:rPr>
          <w:rFonts w:hint="eastAsia"/>
          <w:kern w:val="2"/>
          <w:sz w:val="21"/>
          <w:szCs w:val="21"/>
          <w:lang w:eastAsia="zh-TW" w:bidi="ar"/>
        </w:rPr>
        <w:t>人</w:t>
      </w:r>
      <w:r>
        <w:rPr>
          <w:rFonts w:hint="eastAsia"/>
          <w:kern w:val="2"/>
          <w:sz w:val="21"/>
          <w:szCs w:val="21"/>
          <w:lang w:bidi="ar"/>
        </w:rPr>
        <w:t>和</w:t>
      </w:r>
      <w:r>
        <w:rPr>
          <w:rFonts w:hint="eastAsia"/>
          <w:kern w:val="2"/>
          <w:sz w:val="21"/>
          <w:szCs w:val="21"/>
          <w:lang w:eastAsia="zh-TW" w:bidi="ar"/>
        </w:rPr>
        <w:t>代理机构均无义务和责任承担这些费用</w:t>
      </w:r>
      <w:r>
        <w:rPr>
          <w:rFonts w:hint="eastAsia"/>
          <w:kern w:val="2"/>
          <w:sz w:val="21"/>
          <w:szCs w:val="21"/>
          <w:lang w:bidi="ar"/>
        </w:rPr>
        <w:t>。</w:t>
      </w:r>
    </w:p>
    <w:p w14:paraId="5BC0EA11">
      <w:pPr>
        <w:pStyle w:val="22"/>
        <w:widowControl w:val="0"/>
        <w:numPr>
          <w:ilvl w:val="0"/>
          <w:numId w:val="4"/>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参与项目的</w:t>
      </w:r>
      <w:r>
        <w:rPr>
          <w:rFonts w:hint="eastAsia"/>
          <w:bCs/>
          <w:kern w:val="2"/>
          <w:sz w:val="21"/>
          <w:szCs w:val="21"/>
          <w:lang w:bidi="ar"/>
        </w:rPr>
        <w:t>供应商必须按</w:t>
      </w:r>
      <w:r>
        <w:rPr>
          <w:rFonts w:hint="eastAsia"/>
          <w:kern w:val="2"/>
          <w:sz w:val="21"/>
          <w:szCs w:val="21"/>
          <w:lang w:bidi="ar"/>
        </w:rPr>
        <w:t>项目</w:t>
      </w:r>
      <w:r>
        <w:rPr>
          <w:rFonts w:hint="eastAsia"/>
          <w:bCs/>
          <w:kern w:val="2"/>
          <w:sz w:val="21"/>
          <w:szCs w:val="21"/>
          <w:lang w:bidi="ar"/>
        </w:rPr>
        <w:t>附件的格式填写，不得随意增加或删除表格内容。除单价、金额或项目要求填写的内容外，不得擅自改动</w:t>
      </w:r>
      <w:r>
        <w:rPr>
          <w:rFonts w:hint="eastAsia"/>
          <w:kern w:val="2"/>
          <w:sz w:val="21"/>
          <w:szCs w:val="21"/>
          <w:lang w:bidi="ar"/>
        </w:rPr>
        <w:t>项目</w:t>
      </w:r>
      <w:r>
        <w:rPr>
          <w:rFonts w:hint="eastAsia"/>
          <w:bCs/>
          <w:kern w:val="2"/>
          <w:sz w:val="21"/>
          <w:szCs w:val="21"/>
          <w:lang w:bidi="ar"/>
        </w:rPr>
        <w:t>附件内容，否则将有可能影响成交结果，不推荐为成交候选人。</w:t>
      </w:r>
    </w:p>
    <w:p w14:paraId="6B89CAF6">
      <w:pPr>
        <w:pStyle w:val="22"/>
        <w:widowControl w:val="0"/>
        <w:numPr>
          <w:ilvl w:val="0"/>
          <w:numId w:val="4"/>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参与项目的</w:t>
      </w:r>
      <w:r>
        <w:rPr>
          <w:rFonts w:hint="eastAsia"/>
          <w:kern w:val="2"/>
          <w:sz w:val="21"/>
          <w:szCs w:val="21"/>
          <w:lang w:val="zh-CN" w:bidi="ar"/>
        </w:rPr>
        <w:t>供应商需对用户需求书的所有条款进行整体响应，用户需求书条款若有一条负偏离或不响应，</w:t>
      </w:r>
      <w:r>
        <w:rPr>
          <w:rFonts w:hint="eastAsia"/>
          <w:bCs/>
          <w:kern w:val="2"/>
          <w:sz w:val="21"/>
          <w:szCs w:val="21"/>
          <w:lang w:bidi="ar"/>
        </w:rPr>
        <w:t>不推荐为成交候选人</w:t>
      </w:r>
      <w:r>
        <w:rPr>
          <w:rFonts w:hint="eastAsia"/>
          <w:kern w:val="2"/>
          <w:sz w:val="21"/>
          <w:szCs w:val="21"/>
          <w:lang w:val="zh-CN" w:bidi="ar"/>
        </w:rPr>
        <w:t>。</w:t>
      </w:r>
    </w:p>
    <w:p w14:paraId="336D09DC">
      <w:pPr>
        <w:pStyle w:val="22"/>
        <w:widowControl w:val="0"/>
        <w:numPr>
          <w:ilvl w:val="0"/>
          <w:numId w:val="4"/>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若成交供应商自身原因无法完成本项目，则采购人有权利保留追究责任。</w:t>
      </w:r>
    </w:p>
    <w:p w14:paraId="1ABC4D13">
      <w:pPr>
        <w:pStyle w:val="22"/>
        <w:widowControl w:val="0"/>
        <w:numPr>
          <w:ilvl w:val="0"/>
          <w:numId w:val="4"/>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成交供应商因自身原因被取消成交资格，采购人可重新启动采购或按项目公告规定顺延推选符合要求的供应商作为成交人。</w:t>
      </w:r>
    </w:p>
    <w:p w14:paraId="39A34B03">
      <w:pPr>
        <w:pStyle w:val="22"/>
        <w:widowControl w:val="0"/>
        <w:numPr>
          <w:ilvl w:val="0"/>
          <w:numId w:val="4"/>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若本项目项目采购失败，采购人将重新采购，届时采购人有权根据项目具体情况，决定重新采购项目的采购方式。</w:t>
      </w:r>
    </w:p>
    <w:p w14:paraId="393B8FCA">
      <w:pPr>
        <w:pStyle w:val="22"/>
        <w:widowControl w:val="0"/>
        <w:numPr>
          <w:ilvl w:val="0"/>
          <w:numId w:val="4"/>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成交供应商若无正当理由恶意放弃成交资格，采购人有权将拒绝其参加本项目重新组织的项目采购活动。</w:t>
      </w:r>
    </w:p>
    <w:p w14:paraId="386E7620">
      <w:pPr>
        <w:pStyle w:val="22"/>
        <w:widowControl w:val="0"/>
        <w:numPr>
          <w:ilvl w:val="0"/>
          <w:numId w:val="4"/>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如采购人或代理机构在审核或复核参与项目的供应商所提交的项目资料时，供应商须无条件配合；期间若发现存在弄虚作假或相关的失信记录或违反国家法律法规等相关的不良情形，采购人可取消其成交资格并保留追究责任的权力。</w:t>
      </w:r>
    </w:p>
    <w:p w14:paraId="1D0AF99B">
      <w:pPr>
        <w:pStyle w:val="22"/>
        <w:widowControl w:val="0"/>
        <w:numPr>
          <w:ilvl w:val="0"/>
          <w:numId w:val="4"/>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参与项目的</w:t>
      </w:r>
      <w:r>
        <w:rPr>
          <w:rFonts w:hint="eastAsia"/>
          <w:kern w:val="2"/>
          <w:sz w:val="21"/>
          <w:szCs w:val="21"/>
          <w:lang w:eastAsia="zh-TW" w:bidi="ar"/>
        </w:rPr>
        <w:t>供应商向我司咨询的有关项目事项，一切以</w:t>
      </w:r>
      <w:r>
        <w:rPr>
          <w:rFonts w:hint="eastAsia"/>
          <w:kern w:val="2"/>
          <w:sz w:val="21"/>
          <w:szCs w:val="21"/>
          <w:lang w:bidi="ar"/>
        </w:rPr>
        <w:t>项目文件</w:t>
      </w:r>
      <w:r>
        <w:rPr>
          <w:rFonts w:hint="eastAsia"/>
          <w:kern w:val="2"/>
          <w:sz w:val="21"/>
          <w:szCs w:val="21"/>
          <w:lang w:eastAsia="zh-TW" w:bidi="ar"/>
        </w:rPr>
        <w:t>规定</w:t>
      </w:r>
      <w:r>
        <w:rPr>
          <w:rFonts w:hint="eastAsia"/>
          <w:kern w:val="2"/>
          <w:sz w:val="21"/>
          <w:szCs w:val="21"/>
          <w:lang w:bidi="ar"/>
        </w:rPr>
        <w:t>和项目公告规定以及</w:t>
      </w:r>
      <w:r>
        <w:rPr>
          <w:rFonts w:hint="eastAsia"/>
          <w:kern w:val="2"/>
          <w:sz w:val="21"/>
          <w:szCs w:val="21"/>
          <w:lang w:eastAsia="zh-TW" w:bidi="ar"/>
        </w:rPr>
        <w:t>本公司</w:t>
      </w:r>
      <w:r>
        <w:rPr>
          <w:rFonts w:hint="eastAsia"/>
          <w:kern w:val="2"/>
          <w:sz w:val="21"/>
          <w:szCs w:val="21"/>
          <w:lang w:bidi="ar"/>
        </w:rPr>
        <w:t>的</w:t>
      </w:r>
      <w:r>
        <w:rPr>
          <w:rFonts w:hint="eastAsia"/>
          <w:kern w:val="2"/>
          <w:sz w:val="21"/>
          <w:szCs w:val="21"/>
          <w:lang w:eastAsia="zh-TW" w:bidi="ar"/>
        </w:rPr>
        <w:t>书面答复为准，其他一切形式均为个人意见，不代表本公司的意见</w:t>
      </w:r>
      <w:r>
        <w:rPr>
          <w:rFonts w:hint="eastAsia"/>
          <w:kern w:val="2"/>
          <w:sz w:val="21"/>
          <w:szCs w:val="21"/>
          <w:lang w:bidi="ar"/>
        </w:rPr>
        <w:t>；</w:t>
      </w:r>
    </w:p>
    <w:p w14:paraId="6F4C4596">
      <w:pPr>
        <w:pStyle w:val="22"/>
        <w:widowControl w:val="0"/>
        <w:numPr>
          <w:ilvl w:val="0"/>
          <w:numId w:val="4"/>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参与项目的供应商应认真阅读</w:t>
      </w:r>
      <w:r>
        <w:rPr>
          <w:rFonts w:hint="eastAsia"/>
          <w:kern w:val="2"/>
          <w:sz w:val="21"/>
          <w:szCs w:val="21"/>
          <w:lang w:eastAsia="zh-TW" w:bidi="ar"/>
        </w:rPr>
        <w:t>、并充分理解</w:t>
      </w:r>
      <w:r>
        <w:rPr>
          <w:rFonts w:hint="eastAsia"/>
          <w:kern w:val="2"/>
          <w:sz w:val="21"/>
          <w:szCs w:val="21"/>
          <w:lang w:bidi="ar"/>
        </w:rPr>
        <w:t>项目</w:t>
      </w:r>
      <w:r>
        <w:rPr>
          <w:rFonts w:hint="eastAsia"/>
          <w:kern w:val="2"/>
          <w:sz w:val="21"/>
          <w:szCs w:val="21"/>
          <w:lang w:eastAsia="zh-TW" w:bidi="ar"/>
        </w:rPr>
        <w:t>文件的全部内容（包括所有的补充、修改内容重要事项、格式、条款</w:t>
      </w:r>
      <w:r>
        <w:rPr>
          <w:rFonts w:hint="eastAsia"/>
          <w:kern w:val="2"/>
          <w:sz w:val="21"/>
          <w:szCs w:val="21"/>
          <w:lang w:bidi="ar"/>
        </w:rPr>
        <w:t>、服务要求</w:t>
      </w:r>
      <w:r>
        <w:rPr>
          <w:rFonts w:hint="eastAsia"/>
          <w:kern w:val="2"/>
          <w:sz w:val="21"/>
          <w:szCs w:val="21"/>
          <w:lang w:eastAsia="zh-TW" w:bidi="ar"/>
        </w:rPr>
        <w:t>和技术规范、参数及要求等）。</w:t>
      </w:r>
      <w:r>
        <w:rPr>
          <w:rFonts w:hint="eastAsia"/>
          <w:kern w:val="2"/>
          <w:sz w:val="21"/>
          <w:szCs w:val="21"/>
          <w:lang w:bidi="ar"/>
        </w:rPr>
        <w:t>供应商</w:t>
      </w:r>
      <w:r>
        <w:rPr>
          <w:rFonts w:hint="eastAsia"/>
          <w:kern w:val="2"/>
          <w:sz w:val="21"/>
          <w:szCs w:val="21"/>
          <w:lang w:eastAsia="zh-TW" w:bidi="ar"/>
        </w:rPr>
        <w:t>没有按照</w:t>
      </w:r>
      <w:r>
        <w:rPr>
          <w:rFonts w:hint="eastAsia"/>
          <w:kern w:val="2"/>
          <w:sz w:val="21"/>
          <w:szCs w:val="21"/>
          <w:lang w:bidi="ar"/>
        </w:rPr>
        <w:t>项目</w:t>
      </w:r>
      <w:r>
        <w:rPr>
          <w:rFonts w:hint="eastAsia"/>
          <w:kern w:val="2"/>
          <w:sz w:val="21"/>
          <w:szCs w:val="21"/>
          <w:lang w:eastAsia="zh-TW" w:bidi="ar"/>
        </w:rPr>
        <w:t>文件要求提交全部资料，或者</w:t>
      </w:r>
      <w:r>
        <w:rPr>
          <w:rFonts w:hint="eastAsia"/>
          <w:kern w:val="2"/>
          <w:sz w:val="21"/>
          <w:szCs w:val="21"/>
          <w:lang w:bidi="ar"/>
        </w:rPr>
        <w:t>参与项目所上传的</w:t>
      </w:r>
      <w:r>
        <w:rPr>
          <w:rFonts w:hint="eastAsia"/>
          <w:kern w:val="2"/>
          <w:sz w:val="21"/>
          <w:szCs w:val="21"/>
          <w:lang w:eastAsia="zh-TW" w:bidi="ar"/>
        </w:rPr>
        <w:t>文件没有对</w:t>
      </w:r>
      <w:r>
        <w:rPr>
          <w:rFonts w:hint="eastAsia"/>
          <w:kern w:val="2"/>
          <w:sz w:val="21"/>
          <w:szCs w:val="21"/>
          <w:lang w:bidi="ar"/>
        </w:rPr>
        <w:t>项目</w:t>
      </w:r>
      <w:r>
        <w:rPr>
          <w:rFonts w:hint="eastAsia"/>
          <w:kern w:val="2"/>
          <w:sz w:val="21"/>
          <w:szCs w:val="21"/>
          <w:lang w:eastAsia="zh-TW" w:bidi="ar"/>
        </w:rPr>
        <w:t>文件在各方面都作出实质性响应是</w:t>
      </w:r>
      <w:r>
        <w:rPr>
          <w:rFonts w:hint="eastAsia"/>
          <w:kern w:val="2"/>
          <w:sz w:val="21"/>
          <w:szCs w:val="21"/>
          <w:lang w:bidi="ar"/>
        </w:rPr>
        <w:t>供应商</w:t>
      </w:r>
      <w:r>
        <w:rPr>
          <w:rFonts w:hint="eastAsia"/>
          <w:kern w:val="2"/>
          <w:sz w:val="21"/>
          <w:szCs w:val="21"/>
          <w:lang w:eastAsia="zh-TW" w:bidi="ar"/>
        </w:rPr>
        <w:t>的风险，有可能导致其</w:t>
      </w:r>
      <w:r>
        <w:rPr>
          <w:rFonts w:hint="eastAsia"/>
          <w:kern w:val="2"/>
          <w:sz w:val="21"/>
          <w:szCs w:val="21"/>
          <w:lang w:bidi="ar"/>
        </w:rPr>
        <w:t>响应</w:t>
      </w:r>
      <w:r>
        <w:rPr>
          <w:rFonts w:hint="eastAsia"/>
          <w:kern w:val="2"/>
          <w:sz w:val="21"/>
          <w:szCs w:val="21"/>
          <w:lang w:eastAsia="zh-TW" w:bidi="ar"/>
        </w:rPr>
        <w:t>被拒绝，</w:t>
      </w:r>
      <w:r>
        <w:rPr>
          <w:rFonts w:hint="eastAsia"/>
          <w:kern w:val="2"/>
          <w:sz w:val="21"/>
          <w:szCs w:val="21"/>
          <w:lang w:bidi="ar"/>
        </w:rPr>
        <w:t>或被认定为无效响应。</w:t>
      </w:r>
    </w:p>
    <w:p w14:paraId="0516D88E">
      <w:pPr>
        <w:pStyle w:val="22"/>
        <w:widowControl w:val="0"/>
        <w:numPr>
          <w:ilvl w:val="0"/>
          <w:numId w:val="4"/>
        </w:numPr>
        <w:spacing w:before="0" w:beforeAutospacing="0" w:after="0" w:afterAutospacing="0" w:line="360" w:lineRule="auto"/>
        <w:ind w:left="630" w:leftChars="100" w:hangingChars="200"/>
        <w:jc w:val="both"/>
        <w:rPr>
          <w:sz w:val="21"/>
          <w:szCs w:val="21"/>
        </w:rPr>
      </w:pPr>
      <w:r>
        <w:rPr>
          <w:rFonts w:hint="eastAsia"/>
          <w:sz w:val="21"/>
          <w:szCs w:val="21"/>
          <w:lang w:bidi="ar"/>
        </w:rPr>
        <w:t>采购人有权拒绝接受任何不合格的货物或服务，由此产生的费用及相关后果均由成交供应商自行承担。</w:t>
      </w:r>
    </w:p>
    <w:p w14:paraId="51A2E914">
      <w:pPr>
        <w:pStyle w:val="22"/>
        <w:numPr>
          <w:ilvl w:val="0"/>
          <w:numId w:val="4"/>
        </w:numPr>
        <w:spacing w:before="0" w:beforeAutospacing="0" w:after="0" w:afterAutospacing="0" w:line="360" w:lineRule="auto"/>
        <w:ind w:left="632" w:leftChars="100" w:hanging="422" w:hangingChars="200"/>
        <w:jc w:val="both"/>
        <w:rPr>
          <w:sz w:val="21"/>
          <w:szCs w:val="21"/>
        </w:rPr>
      </w:pPr>
      <w:r>
        <w:rPr>
          <w:rFonts w:hint="eastAsia"/>
          <w:b/>
          <w:kern w:val="2"/>
          <w:sz w:val="21"/>
          <w:szCs w:val="21"/>
          <w:shd w:val="clear" w:color="auto" w:fill="FFFFFF"/>
          <w:lang w:bidi="ar"/>
        </w:rPr>
        <w:t>采购人确认项目结果后，代理机构将在</w:t>
      </w:r>
      <w:r>
        <w:rPr>
          <w:rFonts w:hint="eastAsia"/>
          <w:b/>
          <w:kern w:val="2"/>
          <w:sz w:val="21"/>
          <w:szCs w:val="21"/>
          <w:shd w:val="clear" w:color="auto" w:fill="FFFFFF"/>
          <w:lang w:eastAsia="zh-CN" w:bidi="ar"/>
        </w:rPr>
        <w:t>广东省广裕集团阳春实业有限公司</w:t>
      </w:r>
      <w:r>
        <w:rPr>
          <w:rFonts w:hint="eastAsia"/>
          <w:b/>
          <w:kern w:val="2"/>
          <w:sz w:val="21"/>
          <w:szCs w:val="21"/>
          <w:shd w:val="clear" w:color="auto" w:fill="FFFFFF"/>
          <w:lang w:bidi="ar"/>
        </w:rPr>
        <w:t>线上采购一体化平台进行成交候选人公示，公示期为3个工作日。</w:t>
      </w:r>
    </w:p>
    <w:p w14:paraId="76FEC0D8">
      <w:pPr>
        <w:pStyle w:val="22"/>
        <w:widowControl w:val="0"/>
        <w:numPr>
          <w:ilvl w:val="0"/>
          <w:numId w:val="4"/>
        </w:numPr>
        <w:spacing w:before="0" w:beforeAutospacing="0" w:after="0" w:afterAutospacing="0" w:line="360" w:lineRule="auto"/>
        <w:ind w:left="630" w:leftChars="100" w:hangingChars="200"/>
        <w:jc w:val="both"/>
        <w:rPr>
          <w:sz w:val="21"/>
          <w:szCs w:val="21"/>
          <w:lang w:bidi="ar"/>
        </w:rPr>
      </w:pPr>
      <w:r>
        <w:rPr>
          <w:rFonts w:hint="eastAsia"/>
          <w:sz w:val="21"/>
          <w:szCs w:val="21"/>
          <w:lang w:bidi="ar"/>
        </w:rPr>
        <w:t>若供应商提供的货物存在假冒伪劣等品质问题或提供的服务质量低下或存在拖延影响项目进程等问题，经采购人确认，将列入该采购人黑名单，1年内不得参与该采购人的所有项目且采购人有权利保留追究责任；</w:t>
      </w:r>
    </w:p>
    <w:p w14:paraId="355608A4">
      <w:pPr>
        <w:pStyle w:val="22"/>
        <w:widowControl w:val="0"/>
        <w:numPr>
          <w:ilvl w:val="0"/>
          <w:numId w:val="4"/>
        </w:numPr>
        <w:spacing w:before="0" w:beforeAutospacing="0" w:after="0" w:afterAutospacing="0" w:line="360" w:lineRule="auto"/>
        <w:ind w:left="630" w:leftChars="100" w:hangingChars="200"/>
        <w:jc w:val="both"/>
        <w:rPr>
          <w:sz w:val="21"/>
          <w:szCs w:val="21"/>
          <w:lang w:bidi="ar"/>
        </w:rPr>
      </w:pPr>
      <w:r>
        <w:rPr>
          <w:rFonts w:hint="eastAsia"/>
          <w:sz w:val="21"/>
          <w:szCs w:val="21"/>
          <w:lang w:bidi="ar"/>
        </w:rPr>
        <w:t>参与项目的供应商应提供正确、畅通的联系方式，若采购人或代理机构通过供应商所填写的联系方式无法与供应商及时取得联系，相关不利后果由供应商承担，包括但不限于取消响应资格，且由此产生的费用及相关后果均由供应商自行承担。</w:t>
      </w:r>
    </w:p>
    <w:p w14:paraId="2C44E57B">
      <w:pPr>
        <w:pStyle w:val="22"/>
        <w:widowControl w:val="0"/>
        <w:numPr>
          <w:ilvl w:val="0"/>
          <w:numId w:val="4"/>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供应商认为项目结果损害其权益的，应按照云采链平台相关指引在规定的时间内向采购人或代理机构提交书面质疑，不提交的视为无异议，逾期提交将不予受理。</w:t>
      </w:r>
    </w:p>
    <w:p w14:paraId="1B80AE40">
      <w:pPr>
        <w:pStyle w:val="22"/>
        <w:widowControl w:val="0"/>
        <w:numPr>
          <w:ilvl w:val="0"/>
          <w:numId w:val="4"/>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本项目公告和项目文件的解释权归</w:t>
      </w:r>
      <w:r>
        <w:rPr>
          <w:rFonts w:hint="eastAsia"/>
          <w:kern w:val="2"/>
          <w:sz w:val="21"/>
          <w:szCs w:val="21"/>
          <w:lang w:eastAsia="zh-TW" w:bidi="ar"/>
        </w:rPr>
        <w:t>“</w:t>
      </w:r>
      <w:r>
        <w:rPr>
          <w:rFonts w:hint="eastAsia"/>
          <w:kern w:val="2"/>
          <w:sz w:val="21"/>
          <w:szCs w:val="21"/>
          <w:lang w:bidi="ar"/>
        </w:rPr>
        <w:t>云采链线上采购一体化平台</w:t>
      </w:r>
      <w:r>
        <w:rPr>
          <w:rFonts w:hint="eastAsia"/>
          <w:kern w:val="2"/>
          <w:sz w:val="21"/>
          <w:szCs w:val="21"/>
          <w:lang w:eastAsia="zh-TW" w:bidi="ar"/>
        </w:rPr>
        <w:t>”所有。</w:t>
      </w:r>
    </w:p>
    <w:p w14:paraId="5558E3E4">
      <w:pPr>
        <w:pStyle w:val="22"/>
        <w:widowControl w:val="0"/>
        <w:numPr>
          <w:ilvl w:val="0"/>
          <w:numId w:val="3"/>
        </w:numPr>
        <w:spacing w:before="0" w:beforeAutospacing="0" w:after="0" w:afterAutospacing="0" w:line="360" w:lineRule="auto"/>
        <w:ind w:left="632" w:leftChars="100" w:hanging="422" w:hangingChars="200"/>
        <w:jc w:val="both"/>
        <w:rPr>
          <w:sz w:val="21"/>
          <w:szCs w:val="21"/>
        </w:rPr>
      </w:pPr>
      <w:r>
        <w:rPr>
          <w:rFonts w:hint="eastAsia"/>
          <w:b/>
          <w:kern w:val="2"/>
          <w:sz w:val="21"/>
          <w:szCs w:val="21"/>
          <w:lang w:bidi="ar"/>
        </w:rPr>
        <w:t>项目文件的澄清或修改</w:t>
      </w:r>
    </w:p>
    <w:p w14:paraId="31112F2E">
      <w:pPr>
        <w:pStyle w:val="22"/>
        <w:widowControl w:val="0"/>
        <w:numPr>
          <w:ilvl w:val="1"/>
          <w:numId w:val="5"/>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采购人或者采购代理机构可以对已发出的项目文件进行必要的澄清或者修改。澄清或者修改的内容将在云采链平台上发布澄清（更正/变更）公告。</w:t>
      </w:r>
    </w:p>
    <w:p w14:paraId="40B41A91">
      <w:pPr>
        <w:pStyle w:val="22"/>
        <w:widowControl w:val="0"/>
        <w:numPr>
          <w:ilvl w:val="1"/>
          <w:numId w:val="5"/>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无论澄清或者修改的内容是否影响项目，平台将以短信形式通知所有的报名供应商；报名供应商应按要求履行相应的义务；如报名</w:t>
      </w:r>
      <w:r>
        <w:rPr>
          <w:rFonts w:hint="eastAsia"/>
          <w:kern w:val="2"/>
          <w:sz w:val="21"/>
          <w:szCs w:val="21"/>
          <w:lang w:eastAsia="zh-TW" w:bidi="ar"/>
        </w:rPr>
        <w:t>截止时间</w:t>
      </w:r>
      <w:r>
        <w:rPr>
          <w:rFonts w:hint="eastAsia"/>
          <w:kern w:val="2"/>
          <w:sz w:val="21"/>
          <w:szCs w:val="21"/>
          <w:lang w:bidi="ar"/>
        </w:rPr>
        <w:t>少于一个工作日的，采购人或者采购代理机构应当相应顺延报名的截止时间。</w:t>
      </w:r>
    </w:p>
    <w:p w14:paraId="6E3081A5">
      <w:pPr>
        <w:pStyle w:val="22"/>
        <w:widowControl w:val="0"/>
        <w:numPr>
          <w:ilvl w:val="1"/>
          <w:numId w:val="5"/>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采购人或者采购代理机构发出的澄清或修改（更正/变更）的内容为项目文件的组成部分，并对供应商具有约束力。</w:t>
      </w:r>
    </w:p>
    <w:p w14:paraId="46930503">
      <w:pPr>
        <w:pStyle w:val="22"/>
        <w:widowControl w:val="0"/>
        <w:numPr>
          <w:ilvl w:val="0"/>
          <w:numId w:val="3"/>
        </w:numPr>
        <w:spacing w:before="0" w:beforeAutospacing="0" w:after="0" w:afterAutospacing="0" w:line="360" w:lineRule="auto"/>
        <w:ind w:left="630" w:leftChars="100" w:hangingChars="200"/>
        <w:jc w:val="both"/>
        <w:rPr>
          <w:b/>
          <w:sz w:val="21"/>
          <w:szCs w:val="21"/>
        </w:rPr>
      </w:pPr>
      <w:r>
        <w:rPr>
          <w:rFonts w:hint="eastAsia"/>
          <w:sz w:val="21"/>
          <w:szCs w:val="21"/>
        </w:rPr>
        <w:t>如有要求缴纳保障金的项目有</w:t>
      </w:r>
      <w:r>
        <w:rPr>
          <w:rFonts w:hint="eastAsia"/>
          <w:sz w:val="21"/>
          <w:szCs w:val="21"/>
          <w:lang w:eastAsia="zh-TW"/>
        </w:rPr>
        <w:t>下列任一情</w:t>
      </w:r>
      <w:r>
        <w:rPr>
          <w:rFonts w:hint="eastAsia"/>
          <w:sz w:val="21"/>
          <w:szCs w:val="21"/>
        </w:rPr>
        <w:t>形</w:t>
      </w:r>
      <w:r>
        <w:rPr>
          <w:rFonts w:hint="eastAsia"/>
          <w:sz w:val="21"/>
          <w:szCs w:val="21"/>
          <w:lang w:eastAsia="zh-TW"/>
        </w:rPr>
        <w:t>发生时</w:t>
      </w:r>
      <w:r>
        <w:rPr>
          <w:rFonts w:hint="eastAsia"/>
          <w:sz w:val="21"/>
          <w:szCs w:val="21"/>
        </w:rPr>
        <w:t>，</w:t>
      </w:r>
      <w:r>
        <w:rPr>
          <w:rFonts w:hint="eastAsia"/>
          <w:sz w:val="21"/>
          <w:szCs w:val="21"/>
          <w:lang w:eastAsia="zh-TW"/>
        </w:rPr>
        <w:t>保障金将不予退还</w:t>
      </w:r>
      <w:r>
        <w:rPr>
          <w:rFonts w:hint="eastAsia"/>
          <w:sz w:val="21"/>
          <w:szCs w:val="21"/>
        </w:rPr>
        <w:t>：</w:t>
      </w:r>
    </w:p>
    <w:p w14:paraId="7B4E78CE">
      <w:pPr>
        <w:pStyle w:val="22"/>
        <w:widowControl w:val="0"/>
        <w:numPr>
          <w:ilvl w:val="1"/>
          <w:numId w:val="6"/>
        </w:numPr>
        <w:spacing w:before="0" w:beforeAutospacing="0" w:after="0" w:afterAutospacing="0" w:line="360" w:lineRule="auto"/>
        <w:ind w:left="630" w:leftChars="100" w:hangingChars="200"/>
        <w:jc w:val="both"/>
        <w:rPr>
          <w:kern w:val="2"/>
          <w:sz w:val="21"/>
          <w:szCs w:val="21"/>
          <w:lang w:bidi="ar"/>
        </w:rPr>
      </w:pPr>
      <w:r>
        <w:rPr>
          <w:rFonts w:hint="eastAsia"/>
          <w:kern w:val="2"/>
          <w:sz w:val="21"/>
          <w:szCs w:val="21"/>
          <w:lang w:bidi="ar"/>
        </w:rPr>
        <w:t>供应商在项目相关公告以及项目文件等相关规定的报价截止后撤销其报价的；</w:t>
      </w:r>
    </w:p>
    <w:p w14:paraId="612FC7D5">
      <w:pPr>
        <w:pStyle w:val="22"/>
        <w:widowControl w:val="0"/>
        <w:numPr>
          <w:ilvl w:val="1"/>
          <w:numId w:val="6"/>
        </w:numPr>
        <w:spacing w:before="0" w:beforeAutospacing="0" w:after="0" w:afterAutospacing="0" w:line="360" w:lineRule="auto"/>
        <w:ind w:left="630" w:leftChars="100" w:hangingChars="200"/>
        <w:jc w:val="both"/>
        <w:rPr>
          <w:kern w:val="2"/>
          <w:sz w:val="21"/>
          <w:szCs w:val="21"/>
          <w:lang w:bidi="ar"/>
        </w:rPr>
      </w:pPr>
      <w:r>
        <w:rPr>
          <w:rFonts w:hint="eastAsia"/>
          <w:kern w:val="2"/>
          <w:sz w:val="21"/>
          <w:szCs w:val="21"/>
          <w:lang w:bidi="ar"/>
        </w:rPr>
        <w:t>获取成交资格后无正当理由放弃成交资格或成交人不配合与采购人签订合同的；</w:t>
      </w:r>
    </w:p>
    <w:p w14:paraId="44AEEE52">
      <w:pPr>
        <w:pStyle w:val="22"/>
        <w:widowControl w:val="0"/>
        <w:numPr>
          <w:ilvl w:val="1"/>
          <w:numId w:val="6"/>
        </w:numPr>
        <w:spacing w:before="0" w:beforeAutospacing="0" w:after="0" w:afterAutospacing="0" w:line="360" w:lineRule="auto"/>
        <w:ind w:left="630" w:leftChars="100" w:hangingChars="200"/>
        <w:jc w:val="both"/>
        <w:rPr>
          <w:kern w:val="2"/>
          <w:sz w:val="21"/>
          <w:szCs w:val="21"/>
          <w:lang w:bidi="ar"/>
        </w:rPr>
      </w:pPr>
      <w:r>
        <w:rPr>
          <w:rFonts w:hint="eastAsia"/>
          <w:kern w:val="2"/>
          <w:sz w:val="21"/>
          <w:szCs w:val="21"/>
          <w:lang w:bidi="ar"/>
        </w:rPr>
        <w:t>其他因成交人的原因被认定取消成交资格的。</w:t>
      </w:r>
    </w:p>
    <w:p w14:paraId="76F012DC">
      <w:pPr>
        <w:pStyle w:val="22"/>
        <w:widowControl w:val="0"/>
        <w:numPr>
          <w:ilvl w:val="0"/>
          <w:numId w:val="3"/>
        </w:numPr>
        <w:spacing w:before="0" w:beforeAutospacing="0" w:after="0" w:afterAutospacing="0" w:line="360" w:lineRule="auto"/>
        <w:ind w:left="632" w:leftChars="100" w:hanging="422" w:hangingChars="200"/>
        <w:jc w:val="both"/>
        <w:rPr>
          <w:b/>
          <w:sz w:val="21"/>
          <w:szCs w:val="21"/>
        </w:rPr>
      </w:pPr>
      <w:r>
        <w:rPr>
          <w:rStyle w:val="29"/>
          <w:rFonts w:hint="eastAsia"/>
          <w:sz w:val="21"/>
          <w:szCs w:val="21"/>
        </w:rPr>
        <w:t>报名要求（</w:t>
      </w:r>
      <w:r>
        <w:rPr>
          <w:rFonts w:hint="eastAsia"/>
          <w:sz w:val="21"/>
          <w:szCs w:val="21"/>
        </w:rPr>
        <w:t>参与</w:t>
      </w:r>
      <w:r>
        <w:rPr>
          <w:rFonts w:hint="eastAsia"/>
          <w:kern w:val="2"/>
          <w:sz w:val="21"/>
          <w:szCs w:val="21"/>
          <w:lang w:bidi="ar"/>
        </w:rPr>
        <w:t>项目</w:t>
      </w:r>
      <w:r>
        <w:rPr>
          <w:rFonts w:hint="eastAsia"/>
          <w:sz w:val="21"/>
          <w:szCs w:val="21"/>
        </w:rPr>
        <w:t>的</w:t>
      </w:r>
      <w:r>
        <w:rPr>
          <w:rStyle w:val="29"/>
          <w:rFonts w:hint="eastAsia"/>
          <w:sz w:val="21"/>
          <w:szCs w:val="21"/>
        </w:rPr>
        <w:t>供应商资质要求:报名时需要提供以下</w:t>
      </w:r>
      <w:r>
        <w:rPr>
          <w:rStyle w:val="29"/>
          <w:rFonts w:hint="eastAsia"/>
          <w:sz w:val="21"/>
          <w:szCs w:val="21"/>
          <w:u w:val="double"/>
        </w:rPr>
        <w:t>盖章</w:t>
      </w:r>
      <w:r>
        <w:rPr>
          <w:rStyle w:val="29"/>
          <w:rFonts w:hint="eastAsia"/>
          <w:sz w:val="21"/>
          <w:szCs w:val="21"/>
        </w:rPr>
        <w:t>资料，加盖响应供应商公章，</w:t>
      </w:r>
      <w:r>
        <w:rPr>
          <w:rFonts w:hint="eastAsia"/>
          <w:sz w:val="21"/>
          <w:szCs w:val="21"/>
        </w:rPr>
        <w:t>并对上传的报名文件资料承担责任</w:t>
      </w:r>
      <w:r>
        <w:rPr>
          <w:rStyle w:val="29"/>
          <w:rFonts w:hint="eastAsia"/>
          <w:sz w:val="21"/>
          <w:szCs w:val="21"/>
        </w:rPr>
        <w:t>）</w:t>
      </w:r>
    </w:p>
    <w:p w14:paraId="0646F4F6">
      <w:pPr>
        <w:pStyle w:val="22"/>
        <w:numPr>
          <w:ilvl w:val="0"/>
          <w:numId w:val="7"/>
        </w:numPr>
        <w:spacing w:before="0" w:beforeAutospacing="0" w:after="0" w:afterAutospacing="0" w:line="360" w:lineRule="auto"/>
        <w:rPr>
          <w:sz w:val="21"/>
          <w:szCs w:val="21"/>
        </w:rPr>
      </w:pPr>
      <w:r>
        <w:rPr>
          <w:rFonts w:hint="eastAsia"/>
          <w:sz w:val="21"/>
          <w:szCs w:val="21"/>
          <w:lang w:bidi="ar"/>
        </w:rPr>
        <w:t>具有独立承担民事责任的在中华人民共和国境内注册的法人或其他组织或自然人（提供法人或其他组织的营业执照等证明材料，自然人提供身份证、对公账户等证明材料。</w:t>
      </w:r>
      <w:r>
        <w:rPr>
          <w:rFonts w:hint="eastAsia"/>
          <w:sz w:val="21"/>
          <w:szCs w:val="20"/>
          <w:lang w:bidi="ar"/>
        </w:rPr>
        <w:t>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r>
        <w:rPr>
          <w:rFonts w:hint="eastAsia"/>
          <w:sz w:val="21"/>
          <w:szCs w:val="21"/>
          <w:lang w:bidi="ar"/>
        </w:rPr>
        <w:t>）。</w:t>
      </w:r>
    </w:p>
    <w:p w14:paraId="34803A06">
      <w:pPr>
        <w:pStyle w:val="22"/>
        <w:numPr>
          <w:ilvl w:val="0"/>
          <w:numId w:val="7"/>
        </w:numPr>
        <w:spacing w:before="0" w:beforeAutospacing="0" w:after="0" w:afterAutospacing="0" w:line="360" w:lineRule="auto"/>
        <w:rPr>
          <w:sz w:val="21"/>
          <w:szCs w:val="21"/>
        </w:rPr>
      </w:pPr>
      <w:r>
        <w:rPr>
          <w:rFonts w:hint="eastAsia"/>
          <w:sz w:val="21"/>
          <w:szCs w:val="21"/>
          <w:lang w:bidi="ar"/>
        </w:rPr>
        <w:t>本项目不接受联合体供应商，不允许转包、分包。供应商须提供供应商资格声明函，</w:t>
      </w:r>
      <w:r>
        <w:rPr>
          <w:rFonts w:hint="eastAsia"/>
          <w:b/>
          <w:bCs/>
          <w:sz w:val="21"/>
          <w:szCs w:val="21"/>
          <w:lang w:bidi="ar"/>
        </w:rPr>
        <w:t>格式详见附件。</w:t>
      </w:r>
    </w:p>
    <w:p w14:paraId="044C3E88">
      <w:pPr>
        <w:pStyle w:val="22"/>
        <w:numPr>
          <w:ilvl w:val="0"/>
          <w:numId w:val="7"/>
        </w:numPr>
        <w:spacing w:before="0" w:beforeAutospacing="0" w:after="0" w:afterAutospacing="0" w:line="360" w:lineRule="auto"/>
        <w:rPr>
          <w:sz w:val="21"/>
          <w:szCs w:val="21"/>
        </w:rPr>
      </w:pPr>
      <w:r>
        <w:rPr>
          <w:rFonts w:hint="eastAsia"/>
          <w:sz w:val="21"/>
          <w:szCs w:val="21"/>
          <w:lang w:bidi="ar"/>
        </w:rPr>
        <w:t>供应商完全响应本项目用户需求的条款、内容及要求的，提供用户需求书响应声明函即可</w:t>
      </w:r>
      <w:r>
        <w:rPr>
          <w:rFonts w:hint="eastAsia"/>
          <w:b/>
          <w:sz w:val="21"/>
          <w:szCs w:val="21"/>
          <w:lang w:bidi="ar"/>
        </w:rPr>
        <w:t>，格式详见附件</w:t>
      </w:r>
      <w:r>
        <w:rPr>
          <w:rFonts w:hint="eastAsia"/>
          <w:sz w:val="21"/>
          <w:szCs w:val="21"/>
          <w:lang w:bidi="ar"/>
        </w:rPr>
        <w:t xml:space="preserve">。 </w:t>
      </w:r>
    </w:p>
    <w:p w14:paraId="342B9AE2">
      <w:pPr>
        <w:pStyle w:val="22"/>
        <w:numPr>
          <w:ilvl w:val="0"/>
          <w:numId w:val="7"/>
        </w:numPr>
        <w:spacing w:before="0" w:beforeAutospacing="0" w:after="0" w:afterAutospacing="0" w:line="360" w:lineRule="auto"/>
        <w:rPr>
          <w:sz w:val="21"/>
          <w:szCs w:val="21"/>
        </w:rPr>
      </w:pPr>
      <w:r>
        <w:rPr>
          <w:rFonts w:hint="eastAsia"/>
          <w:sz w:val="21"/>
          <w:szCs w:val="21"/>
          <w:lang w:bidi="ar"/>
        </w:rPr>
        <w:t>经办人如是法定代表人，需提供法定代表人证明书；经办人如是供应商授权代表，需提供法定代表人授权委托书和法定代表人证明书</w:t>
      </w:r>
      <w:r>
        <w:rPr>
          <w:rFonts w:hint="eastAsia"/>
          <w:b/>
          <w:sz w:val="21"/>
          <w:szCs w:val="21"/>
          <w:lang w:bidi="ar"/>
        </w:rPr>
        <w:t>，格式详见附件</w:t>
      </w:r>
      <w:r>
        <w:rPr>
          <w:rFonts w:hint="eastAsia"/>
          <w:sz w:val="21"/>
          <w:szCs w:val="21"/>
          <w:lang w:bidi="ar"/>
        </w:rPr>
        <w:t>。</w:t>
      </w:r>
    </w:p>
    <w:p w14:paraId="2F173D1F">
      <w:pPr>
        <w:pStyle w:val="22"/>
        <w:numPr>
          <w:ilvl w:val="0"/>
          <w:numId w:val="7"/>
        </w:numPr>
        <w:spacing w:before="0" w:beforeAutospacing="0" w:after="0" w:afterAutospacing="0" w:line="360" w:lineRule="auto"/>
        <w:rPr>
          <w:sz w:val="21"/>
          <w:szCs w:val="21"/>
        </w:rPr>
      </w:pPr>
      <w:r>
        <w:rPr>
          <w:rFonts w:ascii="Helvetica" w:hAnsi="Helvetica" w:eastAsia="Helvetica" w:cs="Helvetica"/>
          <w:i w:val="0"/>
          <w:iCs w:val="0"/>
          <w:caps w:val="0"/>
          <w:color w:val="000000"/>
          <w:spacing w:val="0"/>
          <w:sz w:val="21"/>
          <w:szCs w:val="21"/>
          <w:shd w:val="clear" w:fill="FFFFFF"/>
          <w:vertAlign w:val="baseline"/>
        </w:rPr>
        <w:t>供应商须详细地阅读、完全明白并承诺遵守《广东省广裕集团阳春实业有限公司供应商管理规则（试行）》（提供广东省广裕集团阳春实业有限公司供应商管理规则（试行）承诺函</w:t>
      </w:r>
      <w:r>
        <w:rPr>
          <w:rFonts w:hint="default" w:ascii="Helvetica" w:hAnsi="Helvetica" w:eastAsia="Helvetica" w:cs="Helvetica"/>
          <w:b/>
          <w:bCs/>
          <w:i w:val="0"/>
          <w:iCs w:val="0"/>
          <w:caps w:val="0"/>
          <w:color w:val="000000"/>
          <w:spacing w:val="0"/>
          <w:sz w:val="21"/>
          <w:szCs w:val="21"/>
          <w:shd w:val="clear" w:fill="FFFFFF"/>
          <w:vertAlign w:val="baseline"/>
        </w:rPr>
        <w:t>，格式详见附件。</w:t>
      </w:r>
    </w:p>
    <w:p w14:paraId="7FC605D1">
      <w:pPr>
        <w:pStyle w:val="22"/>
        <w:widowControl w:val="0"/>
        <w:numPr>
          <w:ilvl w:val="0"/>
          <w:numId w:val="3"/>
        </w:numPr>
        <w:spacing w:before="0" w:beforeAutospacing="0" w:after="0" w:afterAutospacing="0" w:line="360" w:lineRule="auto"/>
        <w:ind w:left="632" w:leftChars="100" w:hanging="422" w:hangingChars="200"/>
        <w:jc w:val="both"/>
        <w:rPr>
          <w:sz w:val="21"/>
          <w:szCs w:val="21"/>
        </w:rPr>
      </w:pPr>
      <w:r>
        <w:rPr>
          <w:rStyle w:val="29"/>
          <w:rFonts w:hint="eastAsia"/>
          <w:kern w:val="2"/>
          <w:sz w:val="21"/>
          <w:szCs w:val="21"/>
          <w:lang w:bidi="ar"/>
        </w:rPr>
        <w:t>报价要求（报价时需要提供以下</w:t>
      </w:r>
      <w:r>
        <w:rPr>
          <w:rStyle w:val="29"/>
          <w:rFonts w:hint="eastAsia"/>
          <w:kern w:val="2"/>
          <w:sz w:val="21"/>
          <w:szCs w:val="21"/>
          <w:u w:val="double"/>
          <w:lang w:bidi="ar"/>
        </w:rPr>
        <w:t>盖章</w:t>
      </w:r>
      <w:r>
        <w:rPr>
          <w:rStyle w:val="29"/>
          <w:rFonts w:hint="eastAsia"/>
          <w:kern w:val="2"/>
          <w:sz w:val="21"/>
          <w:szCs w:val="21"/>
          <w:lang w:bidi="ar"/>
        </w:rPr>
        <w:t>资料，加盖响应供应商公章，</w:t>
      </w:r>
      <w:r>
        <w:rPr>
          <w:rFonts w:hint="eastAsia"/>
          <w:kern w:val="2"/>
          <w:sz w:val="21"/>
          <w:szCs w:val="21"/>
          <w:lang w:bidi="ar"/>
        </w:rPr>
        <w:t>并对上传的响应文件资料承担责任</w:t>
      </w:r>
      <w:r>
        <w:rPr>
          <w:rStyle w:val="29"/>
          <w:rFonts w:hint="eastAsia"/>
          <w:kern w:val="2"/>
          <w:sz w:val="21"/>
          <w:szCs w:val="21"/>
          <w:lang w:bidi="ar"/>
        </w:rPr>
        <w:t>）</w:t>
      </w:r>
    </w:p>
    <w:p w14:paraId="437CEA2D">
      <w:pPr>
        <w:pStyle w:val="22"/>
        <w:widowControl w:val="0"/>
        <w:numPr>
          <w:ilvl w:val="0"/>
          <w:numId w:val="8"/>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通过报名供应商应根据本公告要求，在规定的项目时间内对采购项目进行报价，同时按本公告要求完整</w:t>
      </w:r>
      <w:r>
        <w:rPr>
          <w:rFonts w:hint="eastAsia"/>
          <w:kern w:val="2"/>
          <w:sz w:val="21"/>
          <w:szCs w:val="21"/>
          <w:lang w:eastAsia="zh-TW" w:bidi="ar"/>
        </w:rPr>
        <w:t>、真实、准确地</w:t>
      </w:r>
      <w:r>
        <w:rPr>
          <w:rFonts w:hint="eastAsia"/>
          <w:kern w:val="2"/>
          <w:sz w:val="21"/>
          <w:szCs w:val="21"/>
          <w:lang w:bidi="ar"/>
        </w:rPr>
        <w:t>填写并上传相应报价附件</w:t>
      </w:r>
      <w:r>
        <w:rPr>
          <w:rFonts w:hint="eastAsia"/>
          <w:b/>
          <w:bCs/>
          <w:kern w:val="2"/>
          <w:sz w:val="21"/>
          <w:szCs w:val="21"/>
          <w:lang w:bidi="ar"/>
        </w:rPr>
        <w:t>（</w:t>
      </w:r>
      <w:r>
        <w:rPr>
          <w:rFonts w:hint="eastAsia"/>
          <w:b/>
          <w:bCs/>
          <w:kern w:val="2"/>
          <w:sz w:val="21"/>
          <w:szCs w:val="21"/>
          <w:shd w:val="clear" w:color="auto" w:fill="FFFFFF"/>
          <w:lang w:bidi="ar"/>
        </w:rPr>
        <w:t>报价表（加盖公章）</w:t>
      </w:r>
      <w:r>
        <w:rPr>
          <w:rFonts w:hint="eastAsia"/>
          <w:b/>
          <w:bCs/>
          <w:kern w:val="2"/>
          <w:sz w:val="21"/>
          <w:szCs w:val="21"/>
          <w:lang w:bidi="ar"/>
        </w:rPr>
        <w:t>）；</w:t>
      </w:r>
    </w:p>
    <w:p w14:paraId="16ADE446">
      <w:pPr>
        <w:pStyle w:val="22"/>
        <w:widowControl w:val="0"/>
        <w:numPr>
          <w:ilvl w:val="0"/>
          <w:numId w:val="8"/>
        </w:numPr>
        <w:spacing w:before="0" w:beforeAutospacing="0" w:after="0" w:afterAutospacing="0" w:line="360" w:lineRule="auto"/>
        <w:ind w:left="632" w:leftChars="100" w:hanging="422" w:hangingChars="200"/>
        <w:jc w:val="both"/>
        <w:rPr>
          <w:b/>
          <w:sz w:val="21"/>
          <w:szCs w:val="21"/>
          <w:u w:val="double"/>
          <w:lang w:bidi="ar"/>
        </w:rPr>
      </w:pPr>
      <w:r>
        <w:rPr>
          <w:rFonts w:hint="eastAsia"/>
          <w:b/>
          <w:sz w:val="21"/>
          <w:szCs w:val="21"/>
          <w:u w:val="double"/>
          <w:lang w:bidi="ar"/>
        </w:rPr>
        <w:t>报价机会仅为1次，供应商应谨慎提交报价，由于错传、漏传、填错等原因导致的相关后果均由供应商自行承担。</w:t>
      </w:r>
    </w:p>
    <w:p w14:paraId="4362C780">
      <w:pPr>
        <w:pStyle w:val="22"/>
        <w:widowControl w:val="0"/>
        <w:numPr>
          <w:ilvl w:val="0"/>
          <w:numId w:val="3"/>
        </w:numPr>
        <w:spacing w:before="0" w:beforeAutospacing="0" w:after="0" w:afterAutospacing="0" w:line="360" w:lineRule="auto"/>
        <w:ind w:left="632" w:leftChars="100" w:hanging="422" w:hangingChars="200"/>
        <w:jc w:val="both"/>
        <w:rPr>
          <w:sz w:val="21"/>
          <w:szCs w:val="21"/>
        </w:rPr>
      </w:pPr>
      <w:r>
        <w:rPr>
          <w:rStyle w:val="29"/>
          <w:rFonts w:hint="eastAsia"/>
          <w:kern w:val="2"/>
          <w:sz w:val="21"/>
          <w:szCs w:val="21"/>
          <w:lang w:bidi="ar"/>
        </w:rPr>
        <w:t>确定成交候选人</w:t>
      </w:r>
    </w:p>
    <w:p w14:paraId="5EC1AF0C">
      <w:pPr>
        <w:pStyle w:val="54"/>
        <w:numPr>
          <w:ilvl w:val="0"/>
          <w:numId w:val="9"/>
        </w:numPr>
        <w:spacing w:line="360" w:lineRule="auto"/>
        <w:ind w:left="630" w:leftChars="100" w:hangingChars="200"/>
        <w:rPr>
          <w:rFonts w:ascii="宋体" w:hAnsi="宋体"/>
          <w:szCs w:val="21"/>
        </w:rPr>
      </w:pPr>
      <w:r>
        <w:rPr>
          <w:rFonts w:hint="eastAsia" w:ascii="宋体" w:hAnsi="宋体"/>
          <w:szCs w:val="21"/>
        </w:rPr>
        <w:t>本项目以下浮率形式进行报价，如项目存在最高限价或单价最高限价，成交总金额（单价）=最高限价（单价最高限价）×（1-下浮率）。报价时间截止后，系统按下浮率由高到低顺序排列，下浮率最高的为第一成交候选人，报下浮率相同的，按报价时间在前的为第一成交候选人；报下浮率次高的为第二成交候选人，以此类推。（示例：如A项目采购一批饮用水，以实际供应量进行结算，该项目以下浮率形式报价，饮用水预算单价为20元/桶，某供应商报下浮率为10%，则成交单价=20元/桶*（1-10%）=18元/桶）。</w:t>
      </w:r>
    </w:p>
    <w:p w14:paraId="0A094062">
      <w:pPr>
        <w:pStyle w:val="54"/>
        <w:numPr>
          <w:ilvl w:val="0"/>
          <w:numId w:val="9"/>
        </w:numPr>
        <w:spacing w:line="360" w:lineRule="auto"/>
        <w:ind w:left="630" w:leftChars="100" w:hangingChars="200"/>
        <w:rPr>
          <w:rFonts w:ascii="宋体" w:hAnsi="宋体"/>
          <w:szCs w:val="21"/>
        </w:rPr>
      </w:pPr>
      <w:r>
        <w:rPr>
          <w:rFonts w:hint="eastAsia" w:ascii="宋体" w:hAnsi="宋体"/>
          <w:szCs w:val="21"/>
        </w:rPr>
        <w:t>若报价结束出现最低价供应商存在放弃或串通竞价等视为无效情况，采购人可按竞价公告规定顺延推选符合要求的供应商作为成交人或重新启动采购。</w:t>
      </w:r>
    </w:p>
    <w:p w14:paraId="34F6754A">
      <w:pPr>
        <w:pStyle w:val="22"/>
        <w:widowControl w:val="0"/>
        <w:numPr>
          <w:ilvl w:val="0"/>
          <w:numId w:val="3"/>
        </w:numPr>
        <w:spacing w:before="0" w:beforeAutospacing="0" w:after="0" w:afterAutospacing="0" w:line="360" w:lineRule="auto"/>
        <w:ind w:left="632" w:leftChars="100" w:hanging="422" w:hangingChars="200"/>
        <w:jc w:val="both"/>
        <w:rPr>
          <w:b/>
          <w:sz w:val="21"/>
          <w:szCs w:val="21"/>
        </w:rPr>
      </w:pPr>
      <w:r>
        <w:rPr>
          <w:rFonts w:hint="eastAsia"/>
          <w:b/>
          <w:kern w:val="2"/>
          <w:sz w:val="21"/>
          <w:szCs w:val="21"/>
          <w:lang w:bidi="ar"/>
        </w:rPr>
        <w:t>无效报价</w:t>
      </w:r>
    </w:p>
    <w:p w14:paraId="242A10FB">
      <w:pPr>
        <w:pStyle w:val="22"/>
        <w:widowControl w:val="0"/>
        <w:numPr>
          <w:ilvl w:val="0"/>
          <w:numId w:val="10"/>
        </w:numPr>
        <w:spacing w:before="0" w:beforeAutospacing="0" w:after="0" w:afterAutospacing="0" w:line="360" w:lineRule="auto"/>
        <w:ind w:left="632" w:leftChars="100" w:hangingChars="200"/>
        <w:jc w:val="both"/>
        <w:rPr>
          <w:rFonts w:hint="eastAsia" w:ascii="宋体" w:hAnsi="宋体" w:eastAsia="宋体" w:cs="宋体"/>
          <w:sz w:val="21"/>
          <w:szCs w:val="21"/>
        </w:rPr>
      </w:pPr>
      <w:r>
        <w:rPr>
          <w:rFonts w:hint="eastAsia" w:ascii="宋体" w:hAnsi="宋体" w:eastAsia="宋体" w:cs="宋体"/>
          <w:b/>
          <w:bCs/>
          <w:sz w:val="21"/>
          <w:szCs w:val="21"/>
        </w:rPr>
        <w:t>下浮率报价没有大于或等于100%，也没有为负数，且是固定唯一值的，否则为无效报价。</w:t>
      </w:r>
    </w:p>
    <w:p w14:paraId="0DB0B9BB">
      <w:pPr>
        <w:pStyle w:val="22"/>
        <w:widowControl w:val="0"/>
        <w:numPr>
          <w:ilvl w:val="0"/>
          <w:numId w:val="10"/>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参与项目的供应商报价超过最高限价或低于最低限价或超过项目对应产品单项最高限价的视为无效报价；</w:t>
      </w:r>
    </w:p>
    <w:p w14:paraId="02D77B7E">
      <w:pPr>
        <w:pStyle w:val="22"/>
        <w:widowControl w:val="0"/>
        <w:numPr>
          <w:ilvl w:val="0"/>
          <w:numId w:val="10"/>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参与项目的</w:t>
      </w:r>
      <w:r>
        <w:rPr>
          <w:rFonts w:hint="eastAsia"/>
          <w:bCs/>
          <w:kern w:val="2"/>
          <w:sz w:val="21"/>
          <w:szCs w:val="21"/>
          <w:lang w:bidi="ar"/>
        </w:rPr>
        <w:t>供应商须提供本项目要求的资质文件，如果不按公告规定或项目文件要求等相关规定提供符合要求的资质文件，将被视为无效报价；</w:t>
      </w:r>
    </w:p>
    <w:p w14:paraId="549F8753">
      <w:pPr>
        <w:pStyle w:val="22"/>
        <w:widowControl w:val="0"/>
        <w:numPr>
          <w:ilvl w:val="0"/>
          <w:numId w:val="10"/>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参与项目的</w:t>
      </w:r>
      <w:r>
        <w:rPr>
          <w:rFonts w:hint="eastAsia"/>
          <w:bCs/>
          <w:kern w:val="2"/>
          <w:sz w:val="21"/>
          <w:szCs w:val="21"/>
          <w:lang w:bidi="ar"/>
        </w:rPr>
        <w:t>供应商须对本项目采购内容进行整体报价，任何只对其中一部分内容进行的报价都被视为无效报价；</w:t>
      </w:r>
    </w:p>
    <w:p w14:paraId="1D6F53D9">
      <w:pPr>
        <w:pStyle w:val="22"/>
        <w:widowControl w:val="0"/>
        <w:numPr>
          <w:ilvl w:val="0"/>
          <w:numId w:val="10"/>
        </w:numPr>
        <w:spacing w:before="0" w:beforeAutospacing="0" w:after="0" w:afterAutospacing="0" w:line="360" w:lineRule="auto"/>
        <w:ind w:left="630" w:leftChars="100" w:hangingChars="200"/>
        <w:jc w:val="both"/>
        <w:rPr>
          <w:sz w:val="21"/>
          <w:szCs w:val="21"/>
        </w:rPr>
      </w:pPr>
      <w:r>
        <w:rPr>
          <w:rFonts w:hint="eastAsia"/>
          <w:kern w:val="2"/>
          <w:sz w:val="21"/>
          <w:szCs w:val="21"/>
          <w:u w:val="double"/>
          <w:lang w:bidi="ar"/>
        </w:rPr>
        <w:t>报价表以及有报价供应商落款的报价文件必须加盖报价供应商公章，否则视为无效报价</w:t>
      </w:r>
      <w:r>
        <w:rPr>
          <w:rFonts w:hint="eastAsia"/>
          <w:kern w:val="2"/>
          <w:sz w:val="21"/>
          <w:szCs w:val="21"/>
          <w:lang w:bidi="ar"/>
        </w:rPr>
        <w:t>；</w:t>
      </w:r>
    </w:p>
    <w:p w14:paraId="061CA446">
      <w:pPr>
        <w:pStyle w:val="22"/>
        <w:numPr>
          <w:ilvl w:val="0"/>
          <w:numId w:val="10"/>
        </w:numPr>
        <w:spacing w:before="0" w:beforeAutospacing="0" w:after="0" w:afterAutospacing="0" w:line="360" w:lineRule="auto"/>
        <w:ind w:left="630" w:leftChars="100" w:hangingChars="200"/>
        <w:jc w:val="both"/>
        <w:rPr>
          <w:sz w:val="21"/>
          <w:szCs w:val="21"/>
        </w:rPr>
      </w:pPr>
      <w:r>
        <w:rPr>
          <w:rFonts w:hint="eastAsia"/>
          <w:sz w:val="21"/>
          <w:szCs w:val="21"/>
        </w:rPr>
        <w:t>大写金额和小写金额不一致的，以大写金额为准；单价金额小数点或者百分比有明显错位的，以报价表的总价为准，并修改单价；总价金额与按单价汇总金额不一致的，以单价金额计算结果为准，</w:t>
      </w:r>
      <w:r>
        <w:rPr>
          <w:rFonts w:hint="eastAsia"/>
          <w:b/>
          <w:bCs/>
          <w:sz w:val="21"/>
          <w:szCs w:val="21"/>
          <w:shd w:val="clear" w:color="auto" w:fill="FFFFFF"/>
        </w:rPr>
        <w:t>不接受总价优惠折扣形式的报价，供应商应将对项目的优惠直接在清单报价中体现出来。</w:t>
      </w:r>
      <w:r>
        <w:rPr>
          <w:rFonts w:hint="eastAsia"/>
          <w:sz w:val="21"/>
          <w:szCs w:val="21"/>
        </w:rPr>
        <w:t>如果供应商不接受对其错误的更正，其报价将被视为无效报价；</w:t>
      </w:r>
    </w:p>
    <w:p w14:paraId="2F8C96D4">
      <w:pPr>
        <w:pStyle w:val="22"/>
        <w:numPr>
          <w:ilvl w:val="0"/>
          <w:numId w:val="10"/>
        </w:numPr>
        <w:spacing w:before="0" w:beforeAutospacing="0" w:after="0" w:afterAutospacing="0" w:line="360" w:lineRule="auto"/>
        <w:ind w:left="632" w:leftChars="100" w:hanging="422" w:hangingChars="200"/>
        <w:jc w:val="both"/>
        <w:rPr>
          <w:b/>
          <w:bCs/>
          <w:sz w:val="21"/>
          <w:szCs w:val="21"/>
          <w:u w:val="double"/>
        </w:rPr>
      </w:pPr>
      <w:r>
        <w:rPr>
          <w:rFonts w:hint="eastAsia"/>
          <w:b/>
          <w:bCs/>
          <w:sz w:val="21"/>
          <w:szCs w:val="21"/>
          <w:u w:val="double"/>
        </w:rPr>
        <w:t>按有关法律、法规、规章属于报价无效的。</w:t>
      </w:r>
    </w:p>
    <w:p w14:paraId="396B9D95">
      <w:pPr>
        <w:pStyle w:val="22"/>
        <w:numPr>
          <w:ilvl w:val="0"/>
          <w:numId w:val="10"/>
        </w:numPr>
        <w:spacing w:before="0" w:beforeAutospacing="0" w:after="0" w:afterAutospacing="0" w:line="360" w:lineRule="auto"/>
        <w:ind w:left="632" w:leftChars="100" w:hanging="422" w:hangingChars="200"/>
        <w:jc w:val="both"/>
        <w:rPr>
          <w:sz w:val="21"/>
          <w:szCs w:val="21"/>
        </w:rPr>
      </w:pPr>
      <w:r>
        <w:rPr>
          <w:rFonts w:hint="eastAsia"/>
          <w:b/>
          <w:sz w:val="21"/>
          <w:szCs w:val="21"/>
        </w:rPr>
        <w:t>有下列情形之一的，视为串通响应，其报价无效：</w:t>
      </w:r>
    </w:p>
    <w:p w14:paraId="57EF4BF6">
      <w:pPr>
        <w:widowControl/>
        <w:numPr>
          <w:ilvl w:val="2"/>
          <w:numId w:val="11"/>
        </w:numPr>
        <w:tabs>
          <w:tab w:val="left" w:pos="2100"/>
        </w:tabs>
        <w:spacing w:line="360" w:lineRule="auto"/>
        <w:ind w:left="630" w:leftChars="100" w:hanging="420" w:hangingChars="200"/>
        <w:rPr>
          <w:rFonts w:ascii="宋体" w:hAnsi="宋体" w:cs="宋体"/>
          <w:szCs w:val="21"/>
        </w:rPr>
      </w:pPr>
      <w:r>
        <w:rPr>
          <w:rFonts w:hint="eastAsia" w:ascii="宋体" w:hAnsi="宋体" w:cs="宋体"/>
          <w:szCs w:val="21"/>
          <w:lang w:bidi="ar"/>
        </w:rPr>
        <w:t>存在单位负责人为同一人或存在控股、管理关系的不同单位参与同一项目；</w:t>
      </w:r>
    </w:p>
    <w:p w14:paraId="54D7C657">
      <w:pPr>
        <w:pStyle w:val="22"/>
        <w:numPr>
          <w:ilvl w:val="2"/>
          <w:numId w:val="11"/>
        </w:numPr>
        <w:spacing w:before="0" w:beforeAutospacing="0" w:after="0" w:afterAutospacing="0" w:line="360" w:lineRule="auto"/>
        <w:ind w:left="630" w:leftChars="100" w:hanging="420" w:hangingChars="200"/>
        <w:jc w:val="both"/>
        <w:rPr>
          <w:sz w:val="21"/>
          <w:szCs w:val="21"/>
        </w:rPr>
      </w:pPr>
      <w:r>
        <w:rPr>
          <w:rFonts w:hint="eastAsia"/>
          <w:kern w:val="2"/>
          <w:sz w:val="21"/>
          <w:szCs w:val="21"/>
          <w:lang w:bidi="ar"/>
        </w:rPr>
        <w:t>不同供应商的响应文件由同一单位或者个人编制；</w:t>
      </w:r>
    </w:p>
    <w:p w14:paraId="0E92CF57">
      <w:pPr>
        <w:pStyle w:val="22"/>
        <w:numPr>
          <w:ilvl w:val="2"/>
          <w:numId w:val="11"/>
        </w:numPr>
        <w:spacing w:before="0" w:beforeAutospacing="0" w:after="0" w:afterAutospacing="0" w:line="360" w:lineRule="auto"/>
        <w:ind w:left="630" w:leftChars="100" w:hanging="420" w:hangingChars="200"/>
        <w:jc w:val="both"/>
        <w:rPr>
          <w:sz w:val="21"/>
          <w:szCs w:val="21"/>
        </w:rPr>
      </w:pPr>
      <w:r>
        <w:rPr>
          <w:rFonts w:hint="eastAsia"/>
          <w:kern w:val="2"/>
          <w:sz w:val="21"/>
          <w:szCs w:val="21"/>
          <w:lang w:bidi="ar"/>
        </w:rPr>
        <w:t>不同供应商委托同一单位或者个人办理项目事宜；</w:t>
      </w:r>
    </w:p>
    <w:p w14:paraId="7E392B08">
      <w:pPr>
        <w:pStyle w:val="22"/>
        <w:numPr>
          <w:ilvl w:val="2"/>
          <w:numId w:val="11"/>
        </w:numPr>
        <w:spacing w:before="0" w:beforeAutospacing="0" w:after="0" w:afterAutospacing="0" w:line="360" w:lineRule="auto"/>
        <w:ind w:left="630" w:leftChars="100" w:hanging="420" w:hangingChars="200"/>
        <w:jc w:val="both"/>
        <w:rPr>
          <w:sz w:val="21"/>
          <w:szCs w:val="21"/>
        </w:rPr>
      </w:pPr>
      <w:r>
        <w:rPr>
          <w:rFonts w:hint="eastAsia"/>
          <w:kern w:val="2"/>
          <w:sz w:val="21"/>
          <w:szCs w:val="21"/>
          <w:lang w:bidi="ar"/>
        </w:rPr>
        <w:t>不同供应商使用同一IP地址参与项目；</w:t>
      </w:r>
    </w:p>
    <w:p w14:paraId="6EE1D9A6">
      <w:pPr>
        <w:pStyle w:val="22"/>
        <w:numPr>
          <w:ilvl w:val="2"/>
          <w:numId w:val="11"/>
        </w:numPr>
        <w:spacing w:before="0" w:beforeAutospacing="0" w:after="0" w:afterAutospacing="0" w:line="360" w:lineRule="auto"/>
        <w:ind w:left="630" w:leftChars="100" w:hanging="420" w:hangingChars="200"/>
        <w:jc w:val="both"/>
        <w:rPr>
          <w:sz w:val="21"/>
          <w:szCs w:val="21"/>
        </w:rPr>
      </w:pPr>
      <w:r>
        <w:rPr>
          <w:rFonts w:hint="eastAsia"/>
          <w:kern w:val="2"/>
          <w:sz w:val="21"/>
          <w:szCs w:val="21"/>
          <w:lang w:bidi="ar"/>
        </w:rPr>
        <w:t>不同供应商的响应文件载明的项目管理成员或者联系人员为同一人；</w:t>
      </w:r>
    </w:p>
    <w:p w14:paraId="126FFEB8">
      <w:pPr>
        <w:pStyle w:val="22"/>
        <w:numPr>
          <w:ilvl w:val="2"/>
          <w:numId w:val="11"/>
        </w:numPr>
        <w:spacing w:before="0" w:beforeAutospacing="0" w:after="0" w:afterAutospacing="0" w:line="360" w:lineRule="auto"/>
        <w:ind w:left="630" w:leftChars="100" w:hanging="420" w:hangingChars="200"/>
        <w:jc w:val="both"/>
        <w:rPr>
          <w:sz w:val="21"/>
          <w:szCs w:val="21"/>
        </w:rPr>
      </w:pPr>
      <w:r>
        <w:rPr>
          <w:rFonts w:hint="eastAsia"/>
          <w:kern w:val="2"/>
          <w:sz w:val="21"/>
          <w:szCs w:val="21"/>
          <w:lang w:bidi="ar"/>
        </w:rPr>
        <w:t>不同供应商的响应文件异常一致或者报价呈规律性差异；</w:t>
      </w:r>
    </w:p>
    <w:p w14:paraId="48453CD5">
      <w:pPr>
        <w:pStyle w:val="22"/>
        <w:numPr>
          <w:ilvl w:val="2"/>
          <w:numId w:val="11"/>
        </w:numPr>
        <w:spacing w:before="0" w:beforeAutospacing="0" w:after="0" w:afterAutospacing="0" w:line="360" w:lineRule="auto"/>
        <w:ind w:left="630" w:leftChars="100" w:hanging="420" w:hangingChars="200"/>
        <w:jc w:val="both"/>
        <w:rPr>
          <w:sz w:val="21"/>
          <w:szCs w:val="21"/>
        </w:rPr>
      </w:pPr>
      <w:r>
        <w:rPr>
          <w:rFonts w:hint="eastAsia"/>
          <w:kern w:val="2"/>
          <w:sz w:val="21"/>
          <w:szCs w:val="21"/>
          <w:lang w:bidi="ar"/>
        </w:rPr>
        <w:t>不同供应商的响应文件相互混淆；</w:t>
      </w:r>
    </w:p>
    <w:p w14:paraId="1B38AD06">
      <w:pPr>
        <w:pStyle w:val="22"/>
        <w:numPr>
          <w:ilvl w:val="2"/>
          <w:numId w:val="11"/>
        </w:numPr>
        <w:spacing w:before="0" w:beforeAutospacing="0" w:after="0" w:afterAutospacing="0" w:line="360" w:lineRule="auto"/>
        <w:ind w:left="630" w:leftChars="100" w:hanging="420" w:hangingChars="200"/>
        <w:jc w:val="both"/>
        <w:rPr>
          <w:sz w:val="21"/>
          <w:szCs w:val="21"/>
        </w:rPr>
      </w:pPr>
      <w:r>
        <w:rPr>
          <w:rFonts w:hint="eastAsia"/>
          <w:kern w:val="2"/>
          <w:sz w:val="21"/>
          <w:szCs w:val="21"/>
          <w:lang w:bidi="ar"/>
        </w:rPr>
        <w:t>不同供应商的保障金/保证金从同一单位或者个人的账户转出。</w:t>
      </w:r>
    </w:p>
    <w:p w14:paraId="32655E80">
      <w:pPr>
        <w:pStyle w:val="22"/>
        <w:widowControl w:val="0"/>
        <w:numPr>
          <w:ilvl w:val="0"/>
          <w:numId w:val="3"/>
        </w:numPr>
        <w:spacing w:before="0" w:beforeAutospacing="0" w:after="0" w:afterAutospacing="0" w:line="360" w:lineRule="auto"/>
        <w:ind w:left="632" w:leftChars="100" w:hanging="422" w:hangingChars="200"/>
        <w:jc w:val="both"/>
        <w:rPr>
          <w:sz w:val="21"/>
          <w:szCs w:val="21"/>
        </w:rPr>
      </w:pPr>
      <w:r>
        <w:rPr>
          <w:rFonts w:hint="eastAsia"/>
          <w:b/>
          <w:kern w:val="2"/>
          <w:sz w:val="21"/>
          <w:szCs w:val="21"/>
          <w:lang w:bidi="ar"/>
        </w:rPr>
        <w:t>项目活动失败</w:t>
      </w:r>
    </w:p>
    <w:p w14:paraId="0F4E6A2F">
      <w:pPr>
        <w:pStyle w:val="22"/>
        <w:widowControl w:val="0"/>
        <w:numPr>
          <w:ilvl w:val="0"/>
          <w:numId w:val="12"/>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出现下列情况的，本次项目活动失败：</w:t>
      </w:r>
    </w:p>
    <w:p w14:paraId="18481A61">
      <w:pPr>
        <w:pStyle w:val="22"/>
        <w:widowControl w:val="0"/>
        <w:spacing w:before="0" w:beforeAutospacing="0" w:after="0" w:afterAutospacing="0" w:line="360" w:lineRule="auto"/>
        <w:ind w:left="630" w:leftChars="100" w:hanging="420" w:hangingChars="200"/>
        <w:jc w:val="both"/>
        <w:rPr>
          <w:sz w:val="21"/>
          <w:szCs w:val="21"/>
        </w:rPr>
      </w:pPr>
      <w:r>
        <w:rPr>
          <w:rFonts w:hint="eastAsia"/>
          <w:kern w:val="2"/>
          <w:sz w:val="21"/>
          <w:szCs w:val="21"/>
          <w:lang w:bidi="ar"/>
        </w:rPr>
        <w:t>（1）有效报名供应商不足3家；</w:t>
      </w:r>
    </w:p>
    <w:p w14:paraId="02F91CB4">
      <w:pPr>
        <w:pStyle w:val="22"/>
        <w:widowControl w:val="0"/>
        <w:spacing w:before="0" w:beforeAutospacing="0" w:after="0" w:afterAutospacing="0" w:line="360" w:lineRule="auto"/>
        <w:ind w:left="630" w:leftChars="100" w:hanging="420" w:hangingChars="200"/>
        <w:jc w:val="both"/>
        <w:rPr>
          <w:sz w:val="21"/>
          <w:szCs w:val="21"/>
        </w:rPr>
      </w:pPr>
      <w:r>
        <w:rPr>
          <w:rFonts w:hint="eastAsia"/>
          <w:kern w:val="2"/>
          <w:sz w:val="21"/>
          <w:szCs w:val="21"/>
          <w:lang w:bidi="ar"/>
        </w:rPr>
        <w:t>（2）有效报价供应商不足3家。</w:t>
      </w:r>
    </w:p>
    <w:p w14:paraId="4D2F00A9">
      <w:pPr>
        <w:pStyle w:val="22"/>
        <w:widowControl w:val="0"/>
        <w:numPr>
          <w:ilvl w:val="0"/>
          <w:numId w:val="12"/>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出现影响采购公正的违法、违规行为的；</w:t>
      </w:r>
    </w:p>
    <w:p w14:paraId="195C01EB">
      <w:pPr>
        <w:pStyle w:val="22"/>
        <w:widowControl w:val="0"/>
        <w:numPr>
          <w:ilvl w:val="0"/>
          <w:numId w:val="12"/>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因重大变故，采购任务取消的。</w:t>
      </w:r>
    </w:p>
    <w:p w14:paraId="5673D920">
      <w:pPr>
        <w:pStyle w:val="22"/>
        <w:widowControl w:val="0"/>
        <w:numPr>
          <w:ilvl w:val="0"/>
          <w:numId w:val="3"/>
        </w:numPr>
        <w:spacing w:before="0" w:beforeAutospacing="0" w:after="0" w:afterAutospacing="0" w:line="360" w:lineRule="auto"/>
        <w:ind w:left="632" w:leftChars="100" w:hanging="422" w:hangingChars="200"/>
        <w:jc w:val="both"/>
        <w:rPr>
          <w:b/>
          <w:sz w:val="21"/>
          <w:szCs w:val="21"/>
        </w:rPr>
      </w:pPr>
      <w:r>
        <w:rPr>
          <w:rFonts w:hint="eastAsia"/>
          <w:b/>
          <w:kern w:val="2"/>
          <w:sz w:val="21"/>
          <w:szCs w:val="21"/>
          <w:lang w:bidi="ar"/>
        </w:rPr>
        <w:t>使用费</w:t>
      </w:r>
    </w:p>
    <w:p w14:paraId="4CC210B2">
      <w:pPr>
        <w:pStyle w:val="22"/>
        <w:widowControl w:val="0"/>
        <w:numPr>
          <w:ilvl w:val="0"/>
          <w:numId w:val="13"/>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成交供应商须向平台服务商云采链线上采购一体化平台缴纳平台使用费，金额为成交金额的1.2%</w:t>
      </w:r>
      <w:r>
        <w:rPr>
          <w:rFonts w:hint="eastAsia"/>
          <w:b/>
          <w:kern w:val="2"/>
          <w:sz w:val="21"/>
          <w:szCs w:val="21"/>
          <w:lang w:bidi="ar"/>
        </w:rPr>
        <w:t>（四舍五入取整数）</w:t>
      </w:r>
      <w:r>
        <w:rPr>
          <w:rFonts w:hint="eastAsia"/>
          <w:kern w:val="2"/>
          <w:sz w:val="21"/>
          <w:szCs w:val="21"/>
          <w:lang w:bidi="ar"/>
        </w:rPr>
        <w:t>；</w:t>
      </w:r>
    </w:p>
    <w:p w14:paraId="44718FA0">
      <w:pPr>
        <w:pStyle w:val="22"/>
        <w:widowControl w:val="0"/>
        <w:numPr>
          <w:ilvl w:val="0"/>
          <w:numId w:val="13"/>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成交供应商无正当理由放弃成交资格的必须按项目公告等相关规定缴纳相应的平台使用费；</w:t>
      </w:r>
    </w:p>
    <w:p w14:paraId="481DC53F">
      <w:pPr>
        <w:pStyle w:val="22"/>
        <w:widowControl w:val="0"/>
        <w:numPr>
          <w:ilvl w:val="0"/>
          <w:numId w:val="13"/>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如确实因不可抗力放弃成交资格的，应在不可抗力发生后三个工作日内予以通知采购代理机构并提供相关的证明；如逾期，采购代理机构不予退还平台使用费。</w:t>
      </w:r>
    </w:p>
    <w:p w14:paraId="1381D739">
      <w:pPr>
        <w:pStyle w:val="22"/>
        <w:spacing w:before="0" w:beforeAutospacing="0" w:after="0" w:afterAutospacing="0" w:line="360" w:lineRule="auto"/>
        <w:ind w:left="632" w:leftChars="100" w:hanging="422" w:hangingChars="200"/>
        <w:jc w:val="both"/>
        <w:rPr>
          <w:b/>
          <w:sz w:val="21"/>
          <w:szCs w:val="21"/>
        </w:rPr>
      </w:pPr>
      <w:r>
        <w:rPr>
          <w:rFonts w:hint="eastAsia"/>
          <w:b/>
          <w:kern w:val="2"/>
          <w:sz w:val="21"/>
          <w:szCs w:val="21"/>
          <w:lang w:bidi="ar"/>
        </w:rPr>
        <w:t>六、联系方式</w:t>
      </w:r>
    </w:p>
    <w:p w14:paraId="43E35EE7">
      <w:pPr>
        <w:pStyle w:val="22"/>
        <w:spacing w:before="0" w:beforeAutospacing="0" w:after="0" w:afterAutospacing="0" w:line="360" w:lineRule="auto"/>
        <w:ind w:left="630" w:leftChars="100" w:hanging="420" w:hangingChars="200"/>
        <w:jc w:val="both"/>
        <w:rPr>
          <w:sz w:val="21"/>
          <w:szCs w:val="21"/>
        </w:rPr>
      </w:pPr>
      <w:r>
        <w:rPr>
          <w:rFonts w:hint="eastAsia"/>
          <w:kern w:val="2"/>
          <w:sz w:val="21"/>
          <w:szCs w:val="21"/>
          <w:lang w:bidi="ar"/>
        </w:rPr>
        <w:t>扫码关注微信公众号“云采链互联服务平台”，即可在线咨询相关事项。</w:t>
      </w:r>
    </w:p>
    <w:p w14:paraId="7FC8CCA6">
      <w:pPr>
        <w:pStyle w:val="54"/>
        <w:widowControl/>
        <w:spacing w:line="360" w:lineRule="auto"/>
        <w:ind w:left="420" w:firstLine="0" w:firstLineChars="0"/>
        <w:jc w:val="center"/>
        <w:rPr>
          <w:rFonts w:ascii="宋体" w:hAnsi="宋体"/>
          <w:b/>
          <w:szCs w:val="21"/>
        </w:rPr>
      </w:pPr>
      <w:r>
        <w:rPr>
          <w:rFonts w:ascii="宋体" w:hAnsi="宋体"/>
          <w:szCs w:val="21"/>
        </w:rPr>
        <w:drawing>
          <wp:inline distT="0" distB="0" distL="114300" distR="114300">
            <wp:extent cx="1371600" cy="1371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1371600" cy="1371600"/>
                    </a:xfrm>
                    <a:prstGeom prst="rect">
                      <a:avLst/>
                    </a:prstGeom>
                    <a:noFill/>
                    <a:ln>
                      <a:noFill/>
                    </a:ln>
                  </pic:spPr>
                </pic:pic>
              </a:graphicData>
            </a:graphic>
          </wp:inline>
        </w:drawing>
      </w:r>
    </w:p>
    <w:p w14:paraId="62850639">
      <w:pPr>
        <w:pStyle w:val="23"/>
        <w:spacing w:before="0" w:after="0" w:line="360" w:lineRule="auto"/>
        <w:rPr>
          <w:rFonts w:ascii="宋体" w:hAnsi="宋体"/>
        </w:rPr>
      </w:pPr>
      <w:r>
        <w:rPr>
          <w:rFonts w:ascii="宋体" w:hAnsi="宋体"/>
          <w:sz w:val="21"/>
          <w:szCs w:val="21"/>
        </w:rPr>
        <w:br w:type="page"/>
      </w:r>
      <w:r>
        <w:rPr>
          <w:rFonts w:hint="eastAsia" w:ascii="宋体" w:hAnsi="宋体"/>
        </w:rPr>
        <w:t>第二章 用户需求书</w:t>
      </w:r>
    </w:p>
    <w:p w14:paraId="00CF204E">
      <w:pPr>
        <w:spacing w:line="360" w:lineRule="auto"/>
        <w:rPr>
          <w:rFonts w:ascii="宋体" w:hAnsi="宋体" w:cs="宋体"/>
          <w:b/>
          <w:bCs/>
          <w:szCs w:val="21"/>
        </w:rPr>
      </w:pPr>
      <w:r>
        <w:rPr>
          <w:rFonts w:hint="eastAsia" w:ascii="宋体" w:hAnsi="宋体" w:cs="宋体"/>
          <w:b/>
          <w:bCs/>
          <w:szCs w:val="21"/>
        </w:rPr>
        <w:t>说明：</w:t>
      </w:r>
    </w:p>
    <w:p w14:paraId="097582D6">
      <w:pPr>
        <w:tabs>
          <w:tab w:val="left" w:pos="420"/>
        </w:tabs>
        <w:spacing w:line="360" w:lineRule="auto"/>
        <w:rPr>
          <w:rFonts w:ascii="宋体" w:hAnsi="宋体" w:cs="宋体"/>
          <w:b/>
          <w:bCs/>
          <w:szCs w:val="21"/>
        </w:rPr>
      </w:pPr>
      <w:r>
        <w:rPr>
          <w:rFonts w:ascii="宋体" w:hAnsi="宋体" w:cs="宋体"/>
          <w:b/>
          <w:bCs/>
          <w:szCs w:val="21"/>
        </w:rPr>
        <w:t>1.</w:t>
      </w:r>
      <w:r>
        <w:rPr>
          <w:rFonts w:hint="eastAsia" w:ascii="宋体" w:hAnsi="宋体" w:cs="宋体"/>
          <w:b/>
          <w:bCs/>
          <w:szCs w:val="21"/>
        </w:rPr>
        <w:t>响应供应商须对本项目进行整体响应，任何只对其中一部分进行的响应都被视为无效响应。</w:t>
      </w:r>
      <w:r>
        <w:rPr>
          <w:rFonts w:ascii="宋体" w:hAnsi="宋体" w:cs="宋体"/>
          <w:b/>
          <w:bCs/>
          <w:szCs w:val="21"/>
        </w:rPr>
        <w:t xml:space="preserve"> </w:t>
      </w:r>
    </w:p>
    <w:p w14:paraId="270F6CDF">
      <w:pPr>
        <w:pStyle w:val="3"/>
        <w:keepNext w:val="0"/>
        <w:keepLines w:val="0"/>
        <w:numPr>
          <w:ilvl w:val="0"/>
          <w:numId w:val="14"/>
        </w:numPr>
        <w:spacing w:before="0" w:after="0" w:line="360" w:lineRule="auto"/>
        <w:ind w:firstLine="0"/>
        <w:rPr>
          <w:rFonts w:ascii="宋体" w:hAnsi="宋体" w:cs="宋体"/>
          <w:sz w:val="21"/>
          <w:szCs w:val="21"/>
        </w:rPr>
      </w:pPr>
      <w:r>
        <w:rPr>
          <w:rFonts w:hint="eastAsia" w:ascii="宋体" w:hAnsi="宋体" w:cs="宋体"/>
          <w:sz w:val="21"/>
          <w:szCs w:val="21"/>
        </w:rPr>
        <w:t>项目一览表</w:t>
      </w:r>
    </w:p>
    <w:tbl>
      <w:tblPr>
        <w:tblStyle w:val="26"/>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885"/>
        <w:gridCol w:w="3731"/>
        <w:gridCol w:w="2098"/>
      </w:tblGrid>
      <w:tr w14:paraId="04BD37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62" w:type="pct"/>
            <w:tcBorders>
              <w:top w:val="single" w:color="auto" w:sz="12" w:space="0"/>
              <w:left w:val="single" w:color="auto" w:sz="12" w:space="0"/>
              <w:bottom w:val="single" w:color="auto" w:sz="4" w:space="0"/>
              <w:right w:val="single" w:color="auto" w:sz="4" w:space="0"/>
            </w:tcBorders>
            <w:shd w:val="clear" w:color="auto" w:fill="EEECE1"/>
            <w:vAlign w:val="center"/>
          </w:tcPr>
          <w:p w14:paraId="7E34F0DE">
            <w:pPr>
              <w:spacing w:line="360" w:lineRule="auto"/>
              <w:jc w:val="center"/>
              <w:rPr>
                <w:rFonts w:ascii="宋体" w:hAnsi="宋体" w:cs="宋体"/>
                <w:b/>
                <w:szCs w:val="21"/>
              </w:rPr>
            </w:pPr>
            <w:r>
              <w:rPr>
                <w:rFonts w:hint="eastAsia" w:ascii="宋体" w:hAnsi="宋体" w:cs="宋体"/>
                <w:b/>
                <w:szCs w:val="21"/>
                <w:lang w:bidi="ar"/>
              </w:rPr>
              <w:t>项目名称</w:t>
            </w:r>
          </w:p>
        </w:tc>
        <w:tc>
          <w:tcPr>
            <w:tcW w:w="519" w:type="pct"/>
            <w:tcBorders>
              <w:top w:val="single" w:color="auto" w:sz="12" w:space="0"/>
              <w:left w:val="single" w:color="auto" w:sz="4" w:space="0"/>
              <w:bottom w:val="single" w:color="auto" w:sz="4" w:space="0"/>
              <w:right w:val="single" w:color="auto" w:sz="4" w:space="0"/>
            </w:tcBorders>
            <w:shd w:val="clear" w:color="auto" w:fill="EEECE1"/>
            <w:vAlign w:val="center"/>
          </w:tcPr>
          <w:p w14:paraId="4CCBBD93">
            <w:pPr>
              <w:spacing w:line="360" w:lineRule="auto"/>
              <w:jc w:val="center"/>
              <w:rPr>
                <w:rFonts w:ascii="宋体" w:hAnsi="宋体" w:cs="宋体"/>
                <w:b/>
                <w:szCs w:val="21"/>
              </w:rPr>
            </w:pPr>
            <w:r>
              <w:rPr>
                <w:rFonts w:hint="eastAsia" w:ascii="宋体" w:hAnsi="宋体" w:cs="宋体"/>
                <w:b/>
                <w:szCs w:val="21"/>
                <w:lang w:bidi="ar"/>
              </w:rPr>
              <w:t>数量</w:t>
            </w:r>
          </w:p>
        </w:tc>
        <w:tc>
          <w:tcPr>
            <w:tcW w:w="2188" w:type="pct"/>
            <w:tcBorders>
              <w:top w:val="single" w:color="auto" w:sz="12" w:space="0"/>
              <w:left w:val="single" w:color="auto" w:sz="4" w:space="0"/>
              <w:bottom w:val="single" w:color="auto" w:sz="4" w:space="0"/>
              <w:right w:val="single" w:color="auto" w:sz="4" w:space="0"/>
            </w:tcBorders>
            <w:shd w:val="clear" w:color="auto" w:fill="EEECE1"/>
            <w:vAlign w:val="center"/>
          </w:tcPr>
          <w:p w14:paraId="2506EC95">
            <w:pPr>
              <w:spacing w:line="360" w:lineRule="auto"/>
              <w:jc w:val="center"/>
              <w:rPr>
                <w:rFonts w:ascii="宋体" w:hAnsi="宋体" w:cs="宋体"/>
                <w:b/>
                <w:szCs w:val="21"/>
              </w:rPr>
            </w:pPr>
            <w:r>
              <w:rPr>
                <w:rFonts w:hint="eastAsia" w:ascii="宋体" w:hAnsi="宋体" w:cs="宋体"/>
                <w:b/>
                <w:szCs w:val="21"/>
                <w:lang w:bidi="ar"/>
              </w:rPr>
              <w:t>交货期（含安装）</w:t>
            </w:r>
          </w:p>
        </w:tc>
        <w:tc>
          <w:tcPr>
            <w:tcW w:w="1230" w:type="pct"/>
            <w:tcBorders>
              <w:top w:val="single" w:color="auto" w:sz="12" w:space="0"/>
              <w:left w:val="single" w:color="auto" w:sz="4" w:space="0"/>
              <w:bottom w:val="single" w:color="auto" w:sz="4" w:space="0"/>
              <w:right w:val="single" w:color="auto" w:sz="12" w:space="0"/>
            </w:tcBorders>
            <w:shd w:val="clear" w:color="auto" w:fill="EEECE1"/>
            <w:vAlign w:val="center"/>
          </w:tcPr>
          <w:p w14:paraId="0B43B06E">
            <w:pPr>
              <w:spacing w:line="360" w:lineRule="auto"/>
              <w:jc w:val="center"/>
              <w:rPr>
                <w:rFonts w:ascii="宋体" w:hAnsi="宋体" w:cs="宋体"/>
                <w:b/>
                <w:szCs w:val="21"/>
              </w:rPr>
            </w:pPr>
            <w:r>
              <w:rPr>
                <w:rFonts w:hint="eastAsia" w:ascii="宋体" w:hAnsi="宋体" w:cs="宋体"/>
                <w:b/>
                <w:szCs w:val="21"/>
                <w:lang w:bidi="ar"/>
              </w:rPr>
              <w:t>最高限价（含税）</w:t>
            </w:r>
          </w:p>
        </w:tc>
      </w:tr>
      <w:tr w14:paraId="711E64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69" w:hRule="atLeast"/>
          <w:jc w:val="center"/>
        </w:trPr>
        <w:tc>
          <w:tcPr>
            <w:tcW w:w="1062" w:type="pct"/>
            <w:tcBorders>
              <w:top w:val="single" w:color="auto" w:sz="4" w:space="0"/>
              <w:left w:val="single" w:color="auto" w:sz="12" w:space="0"/>
              <w:bottom w:val="single" w:color="auto" w:sz="12" w:space="0"/>
              <w:right w:val="single" w:color="auto" w:sz="4" w:space="0"/>
            </w:tcBorders>
            <w:shd w:val="clear" w:color="auto" w:fill="auto"/>
            <w:vAlign w:val="center"/>
          </w:tcPr>
          <w:p w14:paraId="3D318586">
            <w:pPr>
              <w:spacing w:line="360" w:lineRule="auto"/>
              <w:jc w:val="center"/>
              <w:rPr>
                <w:rFonts w:ascii="宋体" w:hAnsi="宋体" w:cs="宋体"/>
              </w:rPr>
            </w:pPr>
            <w:r>
              <w:rPr>
                <w:rFonts w:hint="eastAsia" w:ascii="宋体" w:hAnsi="宋体" w:cs="宋体"/>
                <w:szCs w:val="24"/>
                <w:lang w:bidi="ar"/>
              </w:rPr>
              <w:t>广裕阳春定制类及实训中心会议讨论室办公家具采购项目</w:t>
            </w:r>
          </w:p>
        </w:tc>
        <w:tc>
          <w:tcPr>
            <w:tcW w:w="519" w:type="pct"/>
            <w:tcBorders>
              <w:top w:val="single" w:color="auto" w:sz="4" w:space="0"/>
              <w:left w:val="single" w:color="auto" w:sz="4" w:space="0"/>
              <w:bottom w:val="single" w:color="auto" w:sz="12" w:space="0"/>
              <w:right w:val="single" w:color="auto" w:sz="4" w:space="0"/>
            </w:tcBorders>
            <w:shd w:val="clear" w:color="auto" w:fill="auto"/>
            <w:vAlign w:val="center"/>
          </w:tcPr>
          <w:p w14:paraId="63120B12">
            <w:pPr>
              <w:spacing w:line="360" w:lineRule="auto"/>
              <w:jc w:val="center"/>
              <w:rPr>
                <w:rFonts w:ascii="宋体" w:hAnsi="宋体" w:cs="宋体"/>
                <w:szCs w:val="21"/>
              </w:rPr>
            </w:pPr>
            <w:r>
              <w:rPr>
                <w:rFonts w:hint="eastAsia" w:ascii="宋体" w:hAnsi="宋体" w:cs="宋体"/>
                <w:szCs w:val="21"/>
                <w:lang w:bidi="ar"/>
              </w:rPr>
              <w:t>1批</w:t>
            </w:r>
          </w:p>
        </w:tc>
        <w:tc>
          <w:tcPr>
            <w:tcW w:w="2188" w:type="pct"/>
            <w:tcBorders>
              <w:top w:val="single" w:color="auto" w:sz="4" w:space="0"/>
              <w:left w:val="single" w:color="auto" w:sz="4" w:space="0"/>
              <w:bottom w:val="single" w:color="auto" w:sz="12" w:space="0"/>
              <w:right w:val="single" w:color="auto" w:sz="4" w:space="0"/>
            </w:tcBorders>
            <w:shd w:val="clear" w:color="auto" w:fill="auto"/>
            <w:vAlign w:val="center"/>
          </w:tcPr>
          <w:p w14:paraId="562D5F54">
            <w:pPr>
              <w:spacing w:line="360" w:lineRule="auto"/>
              <w:jc w:val="center"/>
              <w:rPr>
                <w:rFonts w:ascii="宋体" w:hAnsi="宋体" w:cs="宋体"/>
                <w:szCs w:val="21"/>
              </w:rPr>
            </w:pPr>
            <w:r>
              <w:rPr>
                <w:rFonts w:hint="eastAsia" w:ascii="宋体" w:hAnsi="宋体" w:cs="宋体"/>
                <w:szCs w:val="21"/>
                <w:lang w:bidi="ar"/>
              </w:rPr>
              <w:t>签订采购合同后，成交人勘验现场，制作实物样品，经双方确认后，批量生产，交货期：30个自然日内交货并安装完毕。（具体送货安装时间以采购人通知为准）</w:t>
            </w:r>
          </w:p>
        </w:tc>
        <w:tc>
          <w:tcPr>
            <w:tcW w:w="1230" w:type="pct"/>
            <w:tcBorders>
              <w:top w:val="single" w:color="auto" w:sz="4" w:space="0"/>
              <w:left w:val="single" w:color="auto" w:sz="4" w:space="0"/>
              <w:bottom w:val="single" w:color="auto" w:sz="12" w:space="0"/>
              <w:right w:val="single" w:color="auto" w:sz="12" w:space="0"/>
            </w:tcBorders>
            <w:shd w:val="clear" w:color="auto" w:fill="auto"/>
            <w:vAlign w:val="center"/>
          </w:tcPr>
          <w:p w14:paraId="3BE72CE6">
            <w:pPr>
              <w:spacing w:line="360" w:lineRule="auto"/>
              <w:jc w:val="center"/>
              <w:rPr>
                <w:rFonts w:ascii="宋体" w:hAnsi="宋体" w:cs="宋体"/>
                <w:szCs w:val="21"/>
              </w:rPr>
            </w:pPr>
            <w:r>
              <w:rPr>
                <w:rFonts w:hint="eastAsia" w:ascii="宋体" w:hAnsi="宋体" w:cs="宋体"/>
                <w:szCs w:val="21"/>
                <w:lang w:bidi="ar"/>
              </w:rPr>
              <w:t>人民币</w:t>
            </w:r>
            <w:r>
              <w:rPr>
                <w:rFonts w:hint="eastAsia" w:ascii="宋体" w:hAnsi="宋体" w:cs="宋体"/>
                <w:szCs w:val="21"/>
                <w:u w:val="single"/>
                <w:lang w:bidi="ar"/>
              </w:rPr>
              <w:t xml:space="preserve"> 100239.10   </w:t>
            </w:r>
            <w:r>
              <w:rPr>
                <w:rFonts w:hint="eastAsia" w:ascii="宋体" w:hAnsi="宋体" w:cs="宋体"/>
                <w:szCs w:val="21"/>
                <w:lang w:bidi="ar"/>
              </w:rPr>
              <w:t>元（包含货物、人工、运输、安装、搬运、调试、质保、税费等完成本项目所需的一切费用）</w:t>
            </w:r>
          </w:p>
        </w:tc>
      </w:tr>
    </w:tbl>
    <w:p w14:paraId="35860E7F">
      <w:pPr>
        <w:pStyle w:val="3"/>
        <w:keepNext w:val="0"/>
        <w:keepLines w:val="0"/>
        <w:numPr>
          <w:ilvl w:val="0"/>
          <w:numId w:val="14"/>
        </w:numPr>
        <w:spacing w:before="0" w:after="0" w:line="360" w:lineRule="auto"/>
        <w:ind w:firstLine="0"/>
        <w:rPr>
          <w:rFonts w:ascii="宋体" w:hAnsi="宋体"/>
          <w:sz w:val="21"/>
          <w:szCs w:val="21"/>
        </w:rPr>
      </w:pPr>
      <w:r>
        <w:rPr>
          <w:rFonts w:hint="eastAsia" w:ascii="宋体" w:hAnsi="宋体"/>
          <w:sz w:val="21"/>
          <w:szCs w:val="21"/>
        </w:rPr>
        <w:t>项目名称：</w:t>
      </w:r>
    </w:p>
    <w:p w14:paraId="336EED5B">
      <w:pPr>
        <w:pStyle w:val="22"/>
        <w:pageBreakBefore w:val="0"/>
        <w:widowControl w:val="0"/>
        <w:tabs>
          <w:tab w:val="left" w:pos="540"/>
        </w:tabs>
        <w:kinsoku/>
        <w:wordWrap/>
        <w:overflowPunct/>
        <w:topLinePunct w:val="0"/>
        <w:autoSpaceDE/>
        <w:autoSpaceDN/>
        <w:bidi w:val="0"/>
        <w:adjustRightInd w:val="0"/>
        <w:snapToGrid w:val="0"/>
        <w:spacing w:before="0" w:beforeAutospacing="0" w:after="0" w:afterAutospacing="0" w:line="360" w:lineRule="auto"/>
        <w:ind w:firstLine="420" w:firstLineChars="200"/>
        <w:jc w:val="both"/>
        <w:textAlignment w:val="auto"/>
        <w:rPr>
          <w:rFonts w:hint="eastAsia" w:eastAsia="宋体" w:cs="仿宋"/>
          <w:b/>
          <w:bCs/>
          <w:sz w:val="21"/>
          <w:szCs w:val="21"/>
          <w:lang w:eastAsia="zh-CN"/>
        </w:rPr>
      </w:pPr>
      <w:r>
        <w:rPr>
          <w:rFonts w:hint="eastAsia" w:cs="仿宋_GB2312"/>
          <w:sz w:val="21"/>
          <w:szCs w:val="21"/>
          <w:lang w:eastAsia="zh-CN" w:bidi="ar"/>
        </w:rPr>
        <w:t>广裕阳春定制类及实训中心会议讨论室办公家具采购项目</w:t>
      </w:r>
    </w:p>
    <w:p w14:paraId="5E8D9B3D">
      <w:pPr>
        <w:pStyle w:val="3"/>
        <w:keepNext w:val="0"/>
        <w:keepLines w:val="0"/>
        <w:numPr>
          <w:ilvl w:val="0"/>
          <w:numId w:val="14"/>
        </w:numPr>
        <w:spacing w:before="0" w:after="0" w:line="360" w:lineRule="auto"/>
        <w:ind w:firstLine="0"/>
        <w:rPr>
          <w:rFonts w:ascii="宋体" w:hAnsi="宋体"/>
          <w:sz w:val="21"/>
          <w:szCs w:val="21"/>
        </w:rPr>
      </w:pPr>
      <w:r>
        <w:rPr>
          <w:rFonts w:hint="eastAsia" w:ascii="宋体" w:hAnsi="宋体"/>
          <w:sz w:val="21"/>
          <w:szCs w:val="21"/>
        </w:rPr>
        <w:t>项目交货地址：</w:t>
      </w:r>
    </w:p>
    <w:p w14:paraId="3BD6345D">
      <w:pPr>
        <w:pStyle w:val="22"/>
        <w:pageBreakBefore w:val="0"/>
        <w:widowControl w:val="0"/>
        <w:tabs>
          <w:tab w:val="left" w:pos="540"/>
        </w:tabs>
        <w:kinsoku/>
        <w:wordWrap/>
        <w:overflowPunct/>
        <w:topLinePunct w:val="0"/>
        <w:autoSpaceDE/>
        <w:autoSpaceDN/>
        <w:bidi w:val="0"/>
        <w:adjustRightInd w:val="0"/>
        <w:snapToGrid w:val="0"/>
        <w:spacing w:before="0" w:beforeAutospacing="0" w:after="0" w:afterAutospacing="0" w:line="360" w:lineRule="auto"/>
        <w:ind w:firstLine="420" w:firstLineChars="200"/>
        <w:jc w:val="both"/>
        <w:textAlignment w:val="auto"/>
        <w:rPr>
          <w:rFonts w:cs="仿宋"/>
          <w:sz w:val="21"/>
          <w:szCs w:val="21"/>
        </w:rPr>
      </w:pPr>
      <w:r>
        <w:rPr>
          <w:rFonts w:hint="eastAsia" w:cs="仿宋"/>
          <w:sz w:val="21"/>
          <w:szCs w:val="21"/>
          <w:lang w:bidi="ar"/>
        </w:rPr>
        <w:t>广东省阳春市松柏镇一号大院，</w:t>
      </w:r>
      <w:r>
        <w:rPr>
          <w:rFonts w:hint="eastAsia" w:cs="仿宋"/>
          <w:sz w:val="21"/>
          <w:szCs w:val="21"/>
          <w:lang w:val="en-US" w:eastAsia="zh-CN" w:bidi="ar"/>
        </w:rPr>
        <w:t>定制类的柜子需送至广裕阳春生产区内，家具均无需上楼</w:t>
      </w:r>
      <w:r>
        <w:rPr>
          <w:rFonts w:hint="eastAsia" w:cs="仿宋"/>
          <w:sz w:val="21"/>
          <w:szCs w:val="21"/>
          <w:lang w:bidi="ar"/>
        </w:rPr>
        <w:t>。</w:t>
      </w:r>
    </w:p>
    <w:p w14:paraId="177DBB78">
      <w:pPr>
        <w:pStyle w:val="3"/>
        <w:keepNext w:val="0"/>
        <w:keepLines w:val="0"/>
        <w:numPr>
          <w:ilvl w:val="0"/>
          <w:numId w:val="14"/>
        </w:numPr>
        <w:spacing w:before="0" w:after="0" w:line="360" w:lineRule="auto"/>
        <w:ind w:firstLine="0"/>
        <w:rPr>
          <w:rFonts w:ascii="宋体" w:hAnsi="宋体"/>
          <w:sz w:val="21"/>
          <w:szCs w:val="21"/>
        </w:rPr>
      </w:pPr>
      <w:r>
        <w:rPr>
          <w:rFonts w:hint="eastAsia" w:ascii="宋体" w:hAnsi="宋体"/>
          <w:sz w:val="21"/>
          <w:szCs w:val="21"/>
        </w:rPr>
        <w:t>成交方式：</w:t>
      </w:r>
    </w:p>
    <w:p w14:paraId="68C66E37">
      <w:pPr>
        <w:pStyle w:val="22"/>
        <w:pageBreakBefore w:val="0"/>
        <w:widowControl w:val="0"/>
        <w:tabs>
          <w:tab w:val="left" w:pos="540"/>
        </w:tabs>
        <w:kinsoku/>
        <w:wordWrap/>
        <w:overflowPunct/>
        <w:topLinePunct w:val="0"/>
        <w:autoSpaceDE/>
        <w:autoSpaceDN/>
        <w:bidi w:val="0"/>
        <w:adjustRightInd w:val="0"/>
        <w:snapToGrid w:val="0"/>
        <w:spacing w:before="0" w:beforeAutospacing="0" w:after="0" w:afterAutospacing="0" w:line="360" w:lineRule="auto"/>
        <w:ind w:firstLine="420" w:firstLineChars="200"/>
        <w:jc w:val="both"/>
        <w:textAlignment w:val="auto"/>
        <w:rPr>
          <w:rFonts w:cs="仿宋"/>
          <w:b/>
          <w:bCs/>
          <w:sz w:val="21"/>
          <w:szCs w:val="21"/>
        </w:rPr>
      </w:pPr>
      <w:r>
        <w:rPr>
          <w:rFonts w:hint="eastAsia" w:cs="仿宋_GB2312"/>
          <w:sz w:val="21"/>
          <w:szCs w:val="21"/>
          <w:lang w:bidi="ar"/>
        </w:rPr>
        <w:t>采用同等质量、同等标准、最低价成交</w:t>
      </w:r>
    </w:p>
    <w:p w14:paraId="7269CA79">
      <w:pPr>
        <w:pStyle w:val="3"/>
        <w:keepNext w:val="0"/>
        <w:keepLines w:val="0"/>
        <w:numPr>
          <w:ilvl w:val="0"/>
          <w:numId w:val="14"/>
        </w:numPr>
        <w:spacing w:before="0" w:after="0" w:line="360" w:lineRule="auto"/>
        <w:ind w:firstLine="0"/>
        <w:rPr>
          <w:rFonts w:ascii="宋体" w:hAnsi="宋体"/>
          <w:sz w:val="21"/>
          <w:szCs w:val="21"/>
        </w:rPr>
      </w:pPr>
      <w:r>
        <w:rPr>
          <w:rFonts w:hint="eastAsia" w:ascii="宋体" w:hAnsi="宋体"/>
          <w:sz w:val="21"/>
          <w:szCs w:val="21"/>
        </w:rPr>
        <w:t>最高限价：</w:t>
      </w:r>
    </w:p>
    <w:p w14:paraId="763075B6">
      <w:pPr>
        <w:pStyle w:val="22"/>
        <w:pageBreakBefore w:val="0"/>
        <w:widowControl w:val="0"/>
        <w:tabs>
          <w:tab w:val="left" w:pos="540"/>
        </w:tabs>
        <w:kinsoku/>
        <w:wordWrap/>
        <w:overflowPunct/>
        <w:topLinePunct w:val="0"/>
        <w:autoSpaceDE/>
        <w:autoSpaceDN/>
        <w:bidi w:val="0"/>
        <w:adjustRightInd w:val="0"/>
        <w:snapToGrid w:val="0"/>
        <w:spacing w:before="0" w:beforeAutospacing="0" w:after="0" w:afterAutospacing="0" w:line="360" w:lineRule="auto"/>
        <w:ind w:firstLine="420" w:firstLineChars="200"/>
        <w:jc w:val="both"/>
        <w:textAlignment w:val="auto"/>
        <w:rPr>
          <w:rFonts w:cs="仿宋_GB2312"/>
          <w:sz w:val="21"/>
          <w:szCs w:val="21"/>
          <w:lang w:bidi="ar"/>
        </w:rPr>
      </w:pPr>
      <w:r>
        <w:rPr>
          <w:rFonts w:hint="eastAsia" w:cs="仿宋_GB2312"/>
          <w:sz w:val="21"/>
          <w:szCs w:val="21"/>
          <w:lang w:bidi="ar"/>
        </w:rPr>
        <w:t>人民币</w:t>
      </w:r>
      <w:r>
        <w:rPr>
          <w:rFonts w:hint="eastAsia" w:cs="仿宋_GB2312"/>
          <w:sz w:val="21"/>
          <w:szCs w:val="21"/>
          <w:u w:val="single"/>
          <w:lang w:val="en-US" w:eastAsia="zh-CN" w:bidi="ar"/>
        </w:rPr>
        <w:t>100239.10</w:t>
      </w:r>
      <w:r>
        <w:rPr>
          <w:rFonts w:hint="eastAsia" w:cs="仿宋_GB2312"/>
          <w:sz w:val="21"/>
          <w:szCs w:val="21"/>
          <w:u w:val="single"/>
          <w:lang w:bidi="ar"/>
        </w:rPr>
        <w:t xml:space="preserve"> </w:t>
      </w:r>
      <w:r>
        <w:rPr>
          <w:rFonts w:hint="eastAsia" w:cs="仿宋_GB2312"/>
          <w:sz w:val="21"/>
          <w:szCs w:val="21"/>
          <w:lang w:bidi="ar"/>
        </w:rPr>
        <w:t>元</w:t>
      </w:r>
    </w:p>
    <w:p w14:paraId="09D9C15F">
      <w:pPr>
        <w:pStyle w:val="3"/>
        <w:keepNext w:val="0"/>
        <w:keepLines w:val="0"/>
        <w:numPr>
          <w:ilvl w:val="0"/>
          <w:numId w:val="14"/>
        </w:numPr>
        <w:spacing w:before="0" w:after="0" w:line="360" w:lineRule="auto"/>
        <w:ind w:firstLine="0"/>
        <w:rPr>
          <w:rFonts w:ascii="宋体" w:hAnsi="宋体" w:cs="仿宋_GB2312"/>
          <w:kern w:val="0"/>
          <w:sz w:val="21"/>
          <w:szCs w:val="21"/>
          <w:lang w:bidi="ar"/>
        </w:rPr>
      </w:pPr>
      <w:r>
        <w:rPr>
          <w:rFonts w:hint="eastAsia" w:ascii="宋体" w:hAnsi="宋体"/>
          <w:sz w:val="21"/>
          <w:szCs w:val="21"/>
        </w:rPr>
        <w:t>采购清单</w:t>
      </w:r>
    </w:p>
    <w:tbl>
      <w:tblPr>
        <w:tblStyle w:val="26"/>
        <w:tblW w:w="8337" w:type="dxa"/>
        <w:tblInd w:w="0" w:type="dxa"/>
        <w:tblLayout w:type="autofit"/>
        <w:tblCellMar>
          <w:top w:w="0" w:type="dxa"/>
          <w:left w:w="108" w:type="dxa"/>
          <w:bottom w:w="0" w:type="dxa"/>
          <w:right w:w="108" w:type="dxa"/>
        </w:tblCellMar>
      </w:tblPr>
      <w:tblGrid>
        <w:gridCol w:w="611"/>
        <w:gridCol w:w="1786"/>
        <w:gridCol w:w="878"/>
        <w:gridCol w:w="890"/>
        <w:gridCol w:w="1420"/>
        <w:gridCol w:w="1240"/>
        <w:gridCol w:w="1512"/>
      </w:tblGrid>
      <w:tr w14:paraId="6AA9B493">
        <w:tblPrEx>
          <w:tblCellMar>
            <w:top w:w="0" w:type="dxa"/>
            <w:left w:w="108" w:type="dxa"/>
            <w:bottom w:w="0" w:type="dxa"/>
            <w:right w:w="108" w:type="dxa"/>
          </w:tblCellMar>
        </w:tblPrEx>
        <w:trPr>
          <w:trHeight w:val="639"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76C54">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序号</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AAB2A">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产品名称</w:t>
            </w: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0BAA5">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数量</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0B7AF">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单位</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6AAF8">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单价限价（元）</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F370E">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小计限价（元）</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48C54">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备注</w:t>
            </w:r>
          </w:p>
        </w:tc>
      </w:tr>
      <w:tr w14:paraId="76662965">
        <w:tblPrEx>
          <w:tblCellMar>
            <w:top w:w="0" w:type="dxa"/>
            <w:left w:w="108" w:type="dxa"/>
            <w:bottom w:w="0" w:type="dxa"/>
            <w:right w:w="108" w:type="dxa"/>
          </w:tblCellMar>
        </w:tblPrEx>
        <w:trPr>
          <w:trHeight w:val="78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3D6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4F5B3">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定制柜（高柜）</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8B336">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61CB9">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个</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5806">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 xml:space="preserve">2269.27 </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3E0A8">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 xml:space="preserve">2269.27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8190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阳春实业公司</w:t>
            </w:r>
          </w:p>
        </w:tc>
      </w:tr>
      <w:tr w14:paraId="1CE5F606">
        <w:tblPrEx>
          <w:tblCellMar>
            <w:top w:w="0" w:type="dxa"/>
            <w:left w:w="108" w:type="dxa"/>
            <w:bottom w:w="0" w:type="dxa"/>
            <w:right w:w="108" w:type="dxa"/>
          </w:tblCellMar>
        </w:tblPrEx>
        <w:trPr>
          <w:trHeight w:val="70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185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6386B">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定制柜（高柜）</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6363">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274B0">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个</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787A9">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 xml:space="preserve">2269.27 </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E2DAC">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 xml:space="preserve">2269.27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E55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阳春实业公司</w:t>
            </w:r>
          </w:p>
        </w:tc>
      </w:tr>
      <w:tr w14:paraId="372D63D6">
        <w:tblPrEx>
          <w:tblCellMar>
            <w:top w:w="0" w:type="dxa"/>
            <w:left w:w="108" w:type="dxa"/>
            <w:bottom w:w="0" w:type="dxa"/>
            <w:right w:w="108" w:type="dxa"/>
          </w:tblCellMar>
        </w:tblPrEx>
        <w:trPr>
          <w:trHeight w:val="70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7A1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A8CC5">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定制柜（长柜）</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FBC00">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2</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144B">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个</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235A">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 xml:space="preserve">2240.53 </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69CC">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 xml:space="preserve">4481.07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FBF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阳春实业公司</w:t>
            </w:r>
          </w:p>
        </w:tc>
      </w:tr>
      <w:tr w14:paraId="3A937619">
        <w:tblPrEx>
          <w:tblCellMar>
            <w:top w:w="0" w:type="dxa"/>
            <w:left w:w="108" w:type="dxa"/>
            <w:bottom w:w="0" w:type="dxa"/>
            <w:right w:w="108" w:type="dxa"/>
          </w:tblCellMar>
        </w:tblPrEx>
        <w:trPr>
          <w:trHeight w:val="70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81FE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B7AAC">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定制柜（长柜）</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457E8">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2</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3069">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个</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63EA2">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 xml:space="preserve">2651.40 </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2C451">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 xml:space="preserve">5302.80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1CB2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阳春实业公司</w:t>
            </w:r>
          </w:p>
        </w:tc>
      </w:tr>
      <w:tr w14:paraId="3F95E816">
        <w:tblPrEx>
          <w:tblCellMar>
            <w:top w:w="0" w:type="dxa"/>
            <w:left w:w="108" w:type="dxa"/>
            <w:bottom w:w="0" w:type="dxa"/>
            <w:right w:w="108" w:type="dxa"/>
          </w:tblCellMar>
        </w:tblPrEx>
        <w:trPr>
          <w:trHeight w:val="70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6033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723D">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定制柜（长柜）</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C9CD0">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AC5F2">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个</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03E88">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 xml:space="preserve">3434.67 </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03FEF">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 xml:space="preserve">3434.67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AA9F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阳春实业公司</w:t>
            </w:r>
          </w:p>
        </w:tc>
      </w:tr>
      <w:tr w14:paraId="18EF3EAB">
        <w:tblPrEx>
          <w:tblCellMar>
            <w:top w:w="0" w:type="dxa"/>
            <w:left w:w="108" w:type="dxa"/>
            <w:bottom w:w="0" w:type="dxa"/>
            <w:right w:w="108" w:type="dxa"/>
          </w:tblCellMar>
        </w:tblPrEx>
        <w:trPr>
          <w:trHeight w:val="70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1119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86D1E">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定制柜（长柜）</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5ACFC">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13E3A">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个</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549EC">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 xml:space="preserve">2954.67 </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3972D">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 xml:space="preserve">2954.67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C478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阳春实业公司</w:t>
            </w:r>
          </w:p>
        </w:tc>
      </w:tr>
      <w:tr w14:paraId="047030D4">
        <w:tblPrEx>
          <w:tblCellMar>
            <w:top w:w="0" w:type="dxa"/>
            <w:left w:w="108" w:type="dxa"/>
            <w:bottom w:w="0" w:type="dxa"/>
            <w:right w:w="108" w:type="dxa"/>
          </w:tblCellMar>
        </w:tblPrEx>
        <w:trPr>
          <w:trHeight w:val="70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C527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ECDF0">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定制背景墙</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445F2">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9554E">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面</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3CF2">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 xml:space="preserve">8016.20 </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91285">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 xml:space="preserve">8016.20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9FA1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阳春实业公司</w:t>
            </w:r>
          </w:p>
        </w:tc>
      </w:tr>
      <w:tr w14:paraId="0340C8E6">
        <w:tblPrEx>
          <w:tblCellMar>
            <w:top w:w="0" w:type="dxa"/>
            <w:left w:w="108" w:type="dxa"/>
            <w:bottom w:w="0" w:type="dxa"/>
            <w:right w:w="108" w:type="dxa"/>
          </w:tblCellMar>
        </w:tblPrEx>
        <w:trPr>
          <w:trHeight w:val="70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F05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CD63C">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人造石英石台面</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858AC">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C267">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张</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A364E">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 xml:space="preserve">2685.33 </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8465">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 xml:space="preserve">2685.33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D2E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阳春实业公司</w:t>
            </w:r>
          </w:p>
        </w:tc>
      </w:tr>
      <w:tr w14:paraId="5839D7F3">
        <w:tblPrEx>
          <w:tblCellMar>
            <w:top w:w="0" w:type="dxa"/>
            <w:left w:w="108" w:type="dxa"/>
            <w:bottom w:w="0" w:type="dxa"/>
            <w:right w:w="108" w:type="dxa"/>
          </w:tblCellMar>
        </w:tblPrEx>
        <w:trPr>
          <w:trHeight w:val="70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8D5F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28CE1">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人造石英石台面</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434F5">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2ACEB">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张</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B619E">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 xml:space="preserve">2430.83 </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F28F">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 xml:space="preserve">2430.83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C265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阳春实业公司</w:t>
            </w:r>
          </w:p>
        </w:tc>
      </w:tr>
      <w:tr w14:paraId="544BFD44">
        <w:tblPrEx>
          <w:tblCellMar>
            <w:top w:w="0" w:type="dxa"/>
            <w:left w:w="108" w:type="dxa"/>
            <w:bottom w:w="0" w:type="dxa"/>
            <w:right w:w="108" w:type="dxa"/>
          </w:tblCellMar>
        </w:tblPrEx>
        <w:trPr>
          <w:trHeight w:val="70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9F9B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743C">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办公沙发五件套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6198B">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61D43">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套</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6D521">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 xml:space="preserve">5624.33 </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AAF70">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 xml:space="preserve">5624.33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F858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阳春实业公司</w:t>
            </w:r>
          </w:p>
        </w:tc>
      </w:tr>
      <w:tr w14:paraId="04D2ACB9">
        <w:tblPrEx>
          <w:tblCellMar>
            <w:top w:w="0" w:type="dxa"/>
            <w:left w:w="108" w:type="dxa"/>
            <w:bottom w:w="0" w:type="dxa"/>
            <w:right w:w="108" w:type="dxa"/>
          </w:tblCellMar>
        </w:tblPrEx>
        <w:trPr>
          <w:trHeight w:val="70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6D0D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11</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6EE20">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茶水柜</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176CF">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2</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2F2E">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个</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CA69">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 xml:space="preserve">1344.00 </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A0CD8">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 xml:space="preserve">2688.00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A824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阳春实业公司</w:t>
            </w:r>
          </w:p>
        </w:tc>
      </w:tr>
      <w:tr w14:paraId="4059692B">
        <w:tblPrEx>
          <w:tblCellMar>
            <w:top w:w="0" w:type="dxa"/>
            <w:left w:w="108" w:type="dxa"/>
            <w:bottom w:w="0" w:type="dxa"/>
            <w:right w:w="108" w:type="dxa"/>
          </w:tblCellMar>
        </w:tblPrEx>
        <w:trPr>
          <w:trHeight w:val="968"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E4AD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12</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BF34">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移动办公长条桌</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0B9B1">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6</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0AB9D">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张</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AEBCF">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 xml:space="preserve">409.67 </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F9BB">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 xml:space="preserve">2458.00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50B0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阳春实业公司</w:t>
            </w:r>
          </w:p>
        </w:tc>
      </w:tr>
      <w:tr w14:paraId="64947488">
        <w:tblPrEx>
          <w:tblCellMar>
            <w:top w:w="0" w:type="dxa"/>
            <w:left w:w="108" w:type="dxa"/>
            <w:bottom w:w="0" w:type="dxa"/>
            <w:right w:w="108" w:type="dxa"/>
          </w:tblCellMar>
        </w:tblPrEx>
        <w:trPr>
          <w:trHeight w:val="70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F8FF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13</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FEFB3">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移动办公长条桌</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F175A">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52</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A6E28">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张</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80E6">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 xml:space="preserve">455.67 </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A32E2">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 xml:space="preserve">23694.67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3A13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实训中心</w:t>
            </w:r>
          </w:p>
        </w:tc>
      </w:tr>
      <w:tr w14:paraId="17174A88">
        <w:tblPrEx>
          <w:tblCellMar>
            <w:top w:w="0" w:type="dxa"/>
            <w:left w:w="108" w:type="dxa"/>
            <w:bottom w:w="0" w:type="dxa"/>
            <w:right w:w="108" w:type="dxa"/>
          </w:tblCellMar>
        </w:tblPrEx>
        <w:trPr>
          <w:trHeight w:val="70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250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14</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7BB79">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会议讨论室办公椅</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B9F48">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120</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BCC6B">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张</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93EE">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 xml:space="preserve">236.00 </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E0929">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 xml:space="preserve">28320.00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0A33">
            <w:pPr>
              <w:widowControl/>
              <w:jc w:val="center"/>
              <w:textAlignment w:val="center"/>
              <w:rPr>
                <w:rFonts w:hint="eastAsia" w:ascii="宋体" w:hAnsi="宋体" w:eastAsia="宋体" w:cs="宋体"/>
                <w:color w:val="000000"/>
                <w:szCs w:val="21"/>
                <w:lang w:val="en-US" w:eastAsia="zh-CN"/>
              </w:rPr>
            </w:pPr>
            <w:r>
              <w:rPr>
                <w:rFonts w:hint="eastAsia" w:ascii="宋体" w:hAnsi="宋体" w:cs="宋体"/>
                <w:color w:val="000000"/>
                <w:kern w:val="0"/>
                <w:szCs w:val="21"/>
                <w:lang w:bidi="ar"/>
              </w:rPr>
              <w:t>实训中心</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阳春实业公司</w:t>
            </w:r>
          </w:p>
        </w:tc>
      </w:tr>
      <w:tr w14:paraId="3B5D3A07">
        <w:tblPrEx>
          <w:tblCellMar>
            <w:top w:w="0" w:type="dxa"/>
            <w:left w:w="108" w:type="dxa"/>
            <w:bottom w:w="0" w:type="dxa"/>
            <w:right w:w="108" w:type="dxa"/>
          </w:tblCellMar>
        </w:tblPrEx>
        <w:trPr>
          <w:trHeight w:val="70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ED6C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15</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22637">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办公桌</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412D6">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3</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447D0">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张</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5D4D5">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 xml:space="preserve">886.67 </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922A7">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 xml:space="preserve">2660.00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C01E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实训中心</w:t>
            </w:r>
          </w:p>
        </w:tc>
      </w:tr>
      <w:tr w14:paraId="3BDD87DB">
        <w:tblPrEx>
          <w:tblCellMar>
            <w:top w:w="0" w:type="dxa"/>
            <w:left w:w="108" w:type="dxa"/>
            <w:bottom w:w="0" w:type="dxa"/>
            <w:right w:w="108" w:type="dxa"/>
          </w:tblCellMar>
        </w:tblPrEx>
        <w:trPr>
          <w:trHeight w:val="70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F913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16</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70340">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20"/>
                <w:szCs w:val="20"/>
                <w:u w:val="none"/>
                <w:lang w:val="en-US" w:eastAsia="zh-CN" w:bidi="ar"/>
              </w:rPr>
              <w:t>办公椅</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EDEAA">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20"/>
                <w:szCs w:val="20"/>
                <w:u w:val="none"/>
                <w:lang w:val="en-US" w:eastAsia="zh-CN" w:bidi="ar"/>
              </w:rPr>
              <w:t>3</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2EDD9">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20"/>
                <w:szCs w:val="20"/>
                <w:u w:val="none"/>
                <w:lang w:val="en-US" w:eastAsia="zh-CN" w:bidi="ar"/>
              </w:rPr>
              <w:t>张</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4003">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 xml:space="preserve">316.67 </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70D5">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 xml:space="preserve">950.00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4575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实训中心</w:t>
            </w:r>
          </w:p>
        </w:tc>
      </w:tr>
    </w:tbl>
    <w:p w14:paraId="13BA90FB">
      <w:pPr>
        <w:pStyle w:val="3"/>
        <w:keepNext w:val="0"/>
        <w:keepLines w:val="0"/>
        <w:numPr>
          <w:ilvl w:val="0"/>
          <w:numId w:val="14"/>
        </w:numPr>
        <w:spacing w:before="0" w:after="0" w:line="360" w:lineRule="auto"/>
        <w:ind w:firstLine="0"/>
        <w:rPr>
          <w:rFonts w:ascii="宋体" w:hAnsi="宋体" w:cs="宋体"/>
          <w:sz w:val="21"/>
          <w:szCs w:val="21"/>
        </w:rPr>
      </w:pPr>
      <w:r>
        <w:rPr>
          <w:rFonts w:hint="eastAsia" w:ascii="宋体" w:hAnsi="宋体" w:cs="宋体"/>
          <w:sz w:val="21"/>
          <w:szCs w:val="21"/>
        </w:rPr>
        <w:t>技术要求</w:t>
      </w:r>
    </w:p>
    <w:p w14:paraId="6FCF64D1">
      <w:pPr>
        <w:pStyle w:val="22"/>
        <w:pageBreakBefore w:val="0"/>
        <w:widowControl w:val="0"/>
        <w:tabs>
          <w:tab w:val="left" w:pos="540"/>
        </w:tabs>
        <w:kinsoku/>
        <w:wordWrap/>
        <w:overflowPunct/>
        <w:topLinePunct w:val="0"/>
        <w:autoSpaceDE/>
        <w:autoSpaceDN/>
        <w:bidi w:val="0"/>
        <w:adjustRightInd w:val="0"/>
        <w:snapToGrid w:val="0"/>
        <w:spacing w:before="0" w:beforeAutospacing="0" w:after="0" w:afterAutospacing="0" w:line="360" w:lineRule="auto"/>
        <w:ind w:firstLine="421"/>
        <w:jc w:val="both"/>
        <w:textAlignment w:val="auto"/>
        <w:rPr>
          <w:bCs/>
          <w:sz w:val="21"/>
          <w:szCs w:val="21"/>
        </w:rPr>
      </w:pPr>
      <w:r>
        <w:rPr>
          <w:rFonts w:hint="eastAsia"/>
          <w:bCs/>
          <w:sz w:val="21"/>
          <w:szCs w:val="21"/>
          <w:lang w:bidi="ar"/>
        </w:rPr>
        <w:t>成交人所供应的所有货物，在材质、工艺、尺寸、设计、安全性、环保性、功能性、耐久性等必须符合国家行业生产、出厂标准，有合格证明，特别是材质，不得以次充好，以假冒真，以劣冒优，涂漆必须使用高品质环保净味产品，确保使用的安全、环保。成交人不得向采购人供应如甲醛超标、刺激性气味强、设计不合理等可能存在质量安全问题、对人体有害的货物。如存在上述情形或其它影响使用情形的，采购人有权对所供应的货物在验收时邀请专业有资质的第三方机构进行检测，对于验收不合格的供应商，将严格追究其违约责任并追偿因此而造成的所有损失。</w:t>
      </w:r>
    </w:p>
    <w:p w14:paraId="68746DF3">
      <w:pPr>
        <w:pStyle w:val="22"/>
        <w:pageBreakBefore w:val="0"/>
        <w:widowControl w:val="0"/>
        <w:tabs>
          <w:tab w:val="left" w:pos="540"/>
        </w:tabs>
        <w:kinsoku/>
        <w:wordWrap/>
        <w:overflowPunct/>
        <w:topLinePunct w:val="0"/>
        <w:autoSpaceDE/>
        <w:autoSpaceDN/>
        <w:bidi w:val="0"/>
        <w:adjustRightInd w:val="0"/>
        <w:snapToGrid w:val="0"/>
        <w:spacing w:before="0" w:beforeAutospacing="0" w:after="0" w:afterAutospacing="0" w:line="360" w:lineRule="auto"/>
        <w:ind w:firstLine="421"/>
        <w:jc w:val="both"/>
        <w:textAlignment w:val="auto"/>
        <w:rPr>
          <w:sz w:val="21"/>
          <w:szCs w:val="21"/>
        </w:rPr>
      </w:pPr>
      <w:r>
        <w:rPr>
          <w:rFonts w:hint="eastAsia"/>
          <w:bCs/>
          <w:sz w:val="21"/>
          <w:szCs w:val="21"/>
          <w:lang w:bidi="ar"/>
        </w:rPr>
        <w:t>表格中所有图片样式仅供参考,</w:t>
      </w:r>
      <w:r>
        <w:rPr>
          <w:rFonts w:hint="eastAsia"/>
          <w:bCs/>
          <w:sz w:val="21"/>
          <w:szCs w:val="21"/>
          <w:lang w:eastAsia="zh-CN" w:bidi="ar"/>
        </w:rPr>
        <w:t>室内</w:t>
      </w:r>
      <w:r>
        <w:rPr>
          <w:rFonts w:hint="eastAsia"/>
          <w:bCs/>
          <w:sz w:val="21"/>
          <w:szCs w:val="21"/>
          <w:lang w:bidi="ar"/>
        </w:rPr>
        <w:t>配置需保持色调一致，整体简约大方，规格参数必须满足或优于设定的标准，不得低于设定的标准。具体产品的技术、参数要求详见下表：</w:t>
      </w:r>
    </w:p>
    <w:p w14:paraId="06F9A01F">
      <w:pPr>
        <w:pStyle w:val="3"/>
        <w:pageBreakBefore w:val="0"/>
        <w:widowControl w:val="0"/>
        <w:tabs>
          <w:tab w:val="left" w:pos="1259"/>
        </w:tabs>
        <w:kinsoku/>
        <w:wordWrap/>
        <w:overflowPunct/>
        <w:topLinePunct w:val="0"/>
        <w:autoSpaceDE/>
        <w:autoSpaceDN/>
        <w:bidi w:val="0"/>
        <w:spacing w:before="0" w:after="0" w:line="360" w:lineRule="auto"/>
        <w:textAlignment w:val="auto"/>
        <w:rPr>
          <w:rFonts w:ascii="宋体" w:hAnsi="宋体"/>
          <w:sz w:val="21"/>
          <w:szCs w:val="21"/>
        </w:rPr>
        <w:sectPr>
          <w:footerReference r:id="rId3" w:type="default"/>
          <w:pgSz w:w="11906" w:h="16838"/>
          <w:pgMar w:top="1440" w:right="1797" w:bottom="1440" w:left="1797" w:header="851" w:footer="992" w:gutter="0"/>
          <w:cols w:space="720" w:num="1"/>
          <w:docGrid w:type="lines" w:linePitch="312" w:charSpace="0"/>
        </w:sect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3"/>
        <w:gridCol w:w="1308"/>
        <w:gridCol w:w="1952"/>
        <w:gridCol w:w="456"/>
        <w:gridCol w:w="508"/>
        <w:gridCol w:w="2516"/>
        <w:gridCol w:w="5391"/>
        <w:gridCol w:w="1580"/>
      </w:tblGrid>
      <w:tr w14:paraId="762F5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shd w:val="clear" w:color="000000" w:fill="FFFFFF"/>
            <w:vAlign w:val="center"/>
          </w:tcPr>
          <w:p w14:paraId="78DEADE7">
            <w:pPr>
              <w:keepNext w:val="0"/>
              <w:keepLines w:val="0"/>
              <w:widowControl/>
              <w:suppressLineNumbers w:val="0"/>
              <w:jc w:val="center"/>
              <w:textAlignment w:val="center"/>
              <w:rPr>
                <w:rFonts w:ascii="宋体" w:hAnsi="宋体" w:cs="宋体"/>
                <w:b/>
                <w:bCs/>
                <w:szCs w:val="21"/>
              </w:rPr>
            </w:pPr>
            <w:r>
              <w:rPr>
                <w:rFonts w:hint="eastAsia" w:ascii="宋体" w:hAnsi="宋体" w:eastAsia="宋体" w:cs="宋体"/>
                <w:i w:val="0"/>
                <w:iCs w:val="0"/>
                <w:color w:val="000000"/>
                <w:kern w:val="0"/>
                <w:sz w:val="18"/>
                <w:szCs w:val="18"/>
                <w:u w:val="none"/>
                <w:lang w:val="en-US" w:eastAsia="zh-CN" w:bidi="ar"/>
              </w:rPr>
              <w:t>序号</w:t>
            </w:r>
          </w:p>
        </w:tc>
        <w:tc>
          <w:tcPr>
            <w:tcW w:w="1308" w:type="dxa"/>
            <w:shd w:val="clear" w:color="000000" w:fill="FFFFFF"/>
            <w:vAlign w:val="center"/>
          </w:tcPr>
          <w:p w14:paraId="423E3A45">
            <w:pPr>
              <w:keepNext w:val="0"/>
              <w:keepLines w:val="0"/>
              <w:widowControl/>
              <w:suppressLineNumbers w:val="0"/>
              <w:jc w:val="center"/>
              <w:textAlignment w:val="center"/>
              <w:rPr>
                <w:rFonts w:ascii="宋体" w:hAnsi="宋体" w:cs="宋体"/>
                <w:b/>
                <w:bCs/>
                <w:szCs w:val="21"/>
              </w:rPr>
            </w:pPr>
            <w:r>
              <w:rPr>
                <w:rFonts w:hint="eastAsia" w:ascii="宋体" w:hAnsi="宋体" w:eastAsia="宋体" w:cs="宋体"/>
                <w:i w:val="0"/>
                <w:iCs w:val="0"/>
                <w:color w:val="000000"/>
                <w:kern w:val="0"/>
                <w:sz w:val="18"/>
                <w:szCs w:val="18"/>
                <w:u w:val="none"/>
                <w:lang w:val="en-US" w:eastAsia="zh-CN" w:bidi="ar"/>
              </w:rPr>
              <w:t>项目名称</w:t>
            </w:r>
          </w:p>
        </w:tc>
        <w:tc>
          <w:tcPr>
            <w:tcW w:w="1952" w:type="dxa"/>
            <w:shd w:val="clear" w:color="000000" w:fill="FFFFFF"/>
            <w:vAlign w:val="center"/>
          </w:tcPr>
          <w:p w14:paraId="66E2F999">
            <w:pPr>
              <w:keepNext w:val="0"/>
              <w:keepLines w:val="0"/>
              <w:widowControl/>
              <w:suppressLineNumbers w:val="0"/>
              <w:jc w:val="center"/>
              <w:textAlignment w:val="center"/>
              <w:rPr>
                <w:rFonts w:ascii="宋体" w:hAnsi="宋体" w:cs="宋体"/>
                <w:b/>
                <w:bCs/>
                <w:szCs w:val="21"/>
              </w:rPr>
            </w:pPr>
            <w:r>
              <w:rPr>
                <w:rFonts w:hint="eastAsia" w:ascii="宋体" w:hAnsi="宋体" w:eastAsia="宋体" w:cs="宋体"/>
                <w:i w:val="0"/>
                <w:iCs w:val="0"/>
                <w:color w:val="000000"/>
                <w:kern w:val="0"/>
                <w:sz w:val="18"/>
                <w:szCs w:val="18"/>
                <w:u w:val="none"/>
                <w:lang w:val="en-US" w:eastAsia="zh-CN" w:bidi="ar"/>
              </w:rPr>
              <w:t>参数（投影面积）</w:t>
            </w:r>
          </w:p>
        </w:tc>
        <w:tc>
          <w:tcPr>
            <w:tcW w:w="0" w:type="auto"/>
            <w:shd w:val="clear" w:color="000000" w:fill="FFFFFF"/>
            <w:vAlign w:val="center"/>
          </w:tcPr>
          <w:p w14:paraId="391C970B">
            <w:pPr>
              <w:keepNext w:val="0"/>
              <w:keepLines w:val="0"/>
              <w:widowControl/>
              <w:suppressLineNumbers w:val="0"/>
              <w:jc w:val="center"/>
              <w:textAlignment w:val="center"/>
              <w:rPr>
                <w:rFonts w:ascii="宋体" w:hAnsi="宋体" w:cs="宋体"/>
                <w:b/>
                <w:bCs/>
                <w:szCs w:val="21"/>
              </w:rPr>
            </w:pPr>
            <w:r>
              <w:rPr>
                <w:rFonts w:hint="eastAsia" w:ascii="宋体" w:hAnsi="宋体" w:eastAsia="宋体" w:cs="宋体"/>
                <w:i w:val="0"/>
                <w:iCs w:val="0"/>
                <w:color w:val="000000"/>
                <w:kern w:val="0"/>
                <w:sz w:val="18"/>
                <w:szCs w:val="18"/>
                <w:u w:val="none"/>
                <w:lang w:val="en-US" w:eastAsia="zh-CN" w:bidi="ar"/>
              </w:rPr>
              <w:t>单位</w:t>
            </w:r>
          </w:p>
        </w:tc>
        <w:tc>
          <w:tcPr>
            <w:tcW w:w="0" w:type="auto"/>
            <w:shd w:val="clear" w:color="000000" w:fill="FFFFFF"/>
            <w:vAlign w:val="center"/>
          </w:tcPr>
          <w:p w14:paraId="639B2201">
            <w:pPr>
              <w:keepNext w:val="0"/>
              <w:keepLines w:val="0"/>
              <w:widowControl/>
              <w:suppressLineNumbers w:val="0"/>
              <w:jc w:val="center"/>
              <w:textAlignment w:val="center"/>
              <w:rPr>
                <w:rFonts w:ascii="宋体" w:hAnsi="宋体" w:cs="宋体"/>
                <w:b/>
                <w:bCs/>
                <w:szCs w:val="21"/>
              </w:rPr>
            </w:pPr>
            <w:r>
              <w:rPr>
                <w:rFonts w:hint="eastAsia" w:ascii="宋体" w:hAnsi="宋体" w:eastAsia="宋体" w:cs="宋体"/>
                <w:i w:val="0"/>
                <w:iCs w:val="0"/>
                <w:color w:val="000000"/>
                <w:kern w:val="0"/>
                <w:sz w:val="18"/>
                <w:szCs w:val="18"/>
                <w:u w:val="none"/>
                <w:lang w:val="en-US" w:eastAsia="zh-CN" w:bidi="ar"/>
              </w:rPr>
              <w:t>数量</w:t>
            </w:r>
          </w:p>
        </w:tc>
        <w:tc>
          <w:tcPr>
            <w:tcW w:w="2516" w:type="dxa"/>
            <w:shd w:val="clear" w:color="000000" w:fill="FFFFFF"/>
            <w:vAlign w:val="center"/>
          </w:tcPr>
          <w:p w14:paraId="3608A0C3">
            <w:pPr>
              <w:keepNext w:val="0"/>
              <w:keepLines w:val="0"/>
              <w:widowControl/>
              <w:suppressLineNumbers w:val="0"/>
              <w:jc w:val="center"/>
              <w:textAlignment w:val="center"/>
              <w:rPr>
                <w:rFonts w:ascii="宋体" w:hAnsi="宋体" w:cs="宋体"/>
                <w:b/>
                <w:bCs/>
                <w:szCs w:val="21"/>
              </w:rPr>
            </w:pPr>
            <w:r>
              <w:rPr>
                <w:rFonts w:hint="eastAsia" w:ascii="宋体" w:hAnsi="宋体" w:eastAsia="宋体" w:cs="宋体"/>
                <w:i w:val="0"/>
                <w:iCs w:val="0"/>
                <w:color w:val="000000"/>
                <w:kern w:val="0"/>
                <w:sz w:val="18"/>
                <w:szCs w:val="18"/>
                <w:u w:val="none"/>
                <w:lang w:val="en-US" w:eastAsia="zh-CN" w:bidi="ar"/>
              </w:rPr>
              <w:t>参考图片</w:t>
            </w:r>
          </w:p>
        </w:tc>
        <w:tc>
          <w:tcPr>
            <w:tcW w:w="5391" w:type="dxa"/>
            <w:shd w:val="clear" w:color="000000" w:fill="FFFFFF"/>
            <w:vAlign w:val="center"/>
          </w:tcPr>
          <w:p w14:paraId="7BA185F3">
            <w:pPr>
              <w:keepNext w:val="0"/>
              <w:keepLines w:val="0"/>
              <w:widowControl/>
              <w:suppressLineNumbers w:val="0"/>
              <w:jc w:val="center"/>
              <w:textAlignment w:val="center"/>
              <w:rPr>
                <w:rFonts w:ascii="宋体" w:hAnsi="宋体" w:cs="宋体"/>
                <w:b/>
                <w:bCs/>
                <w:szCs w:val="21"/>
              </w:rPr>
            </w:pPr>
            <w:r>
              <w:rPr>
                <w:rFonts w:hint="eastAsia" w:ascii="宋体" w:hAnsi="宋体" w:eastAsia="宋体" w:cs="宋体"/>
                <w:i w:val="0"/>
                <w:iCs w:val="0"/>
                <w:color w:val="000000"/>
                <w:kern w:val="0"/>
                <w:sz w:val="18"/>
                <w:szCs w:val="18"/>
                <w:u w:val="none"/>
                <w:lang w:val="en-US" w:eastAsia="zh-CN" w:bidi="ar"/>
              </w:rPr>
              <w:t>材质要求</w:t>
            </w:r>
          </w:p>
        </w:tc>
        <w:tc>
          <w:tcPr>
            <w:tcW w:w="0" w:type="auto"/>
            <w:shd w:val="clear" w:color="000000" w:fill="FFFFFF"/>
            <w:vAlign w:val="center"/>
          </w:tcPr>
          <w:p w14:paraId="56DCBA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备注</w:t>
            </w:r>
          </w:p>
        </w:tc>
      </w:tr>
      <w:tr w14:paraId="07FEB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shd w:val="clear" w:color="auto" w:fill="auto"/>
            <w:vAlign w:val="center"/>
          </w:tcPr>
          <w:p w14:paraId="67AB0C1D">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1</w:t>
            </w:r>
          </w:p>
        </w:tc>
        <w:tc>
          <w:tcPr>
            <w:tcW w:w="1308" w:type="dxa"/>
            <w:shd w:val="clear" w:color="auto" w:fill="auto"/>
            <w:vAlign w:val="center"/>
          </w:tcPr>
          <w:p w14:paraId="53F74100">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定制柜（高柜）</w:t>
            </w:r>
          </w:p>
        </w:tc>
        <w:tc>
          <w:tcPr>
            <w:tcW w:w="1952" w:type="dxa"/>
            <w:shd w:val="clear" w:color="auto" w:fill="auto"/>
            <w:vAlign w:val="center"/>
          </w:tcPr>
          <w:p w14:paraId="2306BB6E">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1.1*2.35M=2.585㎡</w:t>
            </w:r>
          </w:p>
        </w:tc>
        <w:tc>
          <w:tcPr>
            <w:tcW w:w="0" w:type="auto"/>
            <w:shd w:val="clear" w:color="auto" w:fill="auto"/>
            <w:vAlign w:val="center"/>
          </w:tcPr>
          <w:p w14:paraId="5718B2A1">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个</w:t>
            </w:r>
          </w:p>
        </w:tc>
        <w:tc>
          <w:tcPr>
            <w:tcW w:w="0" w:type="auto"/>
            <w:shd w:val="clear" w:color="auto" w:fill="auto"/>
            <w:vAlign w:val="center"/>
          </w:tcPr>
          <w:p w14:paraId="55100916">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1</w:t>
            </w:r>
          </w:p>
        </w:tc>
        <w:tc>
          <w:tcPr>
            <w:tcW w:w="2516" w:type="dxa"/>
            <w:vMerge w:val="restart"/>
            <w:shd w:val="clear" w:color="auto" w:fill="auto"/>
            <w:vAlign w:val="center"/>
          </w:tcPr>
          <w:p w14:paraId="31998C70">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439420</wp:posOffset>
                  </wp:positionH>
                  <wp:positionV relativeFrom="paragraph">
                    <wp:posOffset>113030</wp:posOffset>
                  </wp:positionV>
                  <wp:extent cx="601980" cy="844550"/>
                  <wp:effectExtent l="0" t="0" r="7620" b="6350"/>
                  <wp:wrapNone/>
                  <wp:docPr id="90" name="ID_02E26D29CC4041F0AA19AE92D7739D74"/>
                  <wp:cNvGraphicFramePr/>
                  <a:graphic xmlns:a="http://schemas.openxmlformats.org/drawingml/2006/main">
                    <a:graphicData uri="http://schemas.openxmlformats.org/drawingml/2006/picture">
                      <pic:pic xmlns:pic="http://schemas.openxmlformats.org/drawingml/2006/picture">
                        <pic:nvPicPr>
                          <pic:cNvPr id="90" name="ID_02E26D29CC4041F0AA19AE92D7739D74"/>
                          <pic:cNvPicPr/>
                        </pic:nvPicPr>
                        <pic:blipFill>
                          <a:blip r:embed="rId9"/>
                          <a:stretch>
                            <a:fillRect/>
                          </a:stretch>
                        </pic:blipFill>
                        <pic:spPr>
                          <a:xfrm>
                            <a:off x="0" y="0"/>
                            <a:ext cx="601980" cy="844550"/>
                          </a:xfrm>
                          <a:prstGeom prst="rect">
                            <a:avLst/>
                          </a:prstGeom>
                          <a:noFill/>
                          <a:ln>
                            <a:noFill/>
                          </a:ln>
                        </pic:spPr>
                      </pic:pic>
                    </a:graphicData>
                  </a:graphic>
                </wp:anchor>
              </w:drawing>
            </w:r>
          </w:p>
        </w:tc>
        <w:tc>
          <w:tcPr>
            <w:tcW w:w="5391" w:type="dxa"/>
            <w:vMerge w:val="restart"/>
            <w:shd w:val="clear" w:color="auto" w:fill="auto"/>
            <w:vAlign w:val="center"/>
          </w:tcPr>
          <w:p w14:paraId="1CC331F0">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1、采用E0级多层实木板，柜体18MM，背板用9MM，层板18MM（颜色由成交供应商提供色板给采购人确定）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2、采用百隆304不锈钢门铰，高韧性弹簧，开合无声低分贝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3、符合国家《室内装饰装修材料人造板及其制品中甲醛释放限量》(GB18580-2017)，及《人造板及其制品甲醛释放量分级》(GB/T 39600-2021)的相关标准</w:t>
            </w:r>
          </w:p>
        </w:tc>
        <w:tc>
          <w:tcPr>
            <w:tcW w:w="0" w:type="auto"/>
            <w:shd w:val="clear" w:color="auto" w:fill="auto"/>
            <w:vAlign w:val="center"/>
          </w:tcPr>
          <w:p w14:paraId="310F3A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含锁及所有配件</w:t>
            </w:r>
          </w:p>
        </w:tc>
      </w:tr>
      <w:tr w14:paraId="0B65E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shd w:val="clear" w:color="auto" w:fill="auto"/>
            <w:vAlign w:val="center"/>
          </w:tcPr>
          <w:p w14:paraId="194BE14C">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2</w:t>
            </w:r>
          </w:p>
        </w:tc>
        <w:tc>
          <w:tcPr>
            <w:tcW w:w="1308" w:type="dxa"/>
            <w:shd w:val="clear" w:color="auto" w:fill="auto"/>
            <w:vAlign w:val="center"/>
          </w:tcPr>
          <w:p w14:paraId="2947B2AD">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定制柜（高柜）</w:t>
            </w:r>
          </w:p>
        </w:tc>
        <w:tc>
          <w:tcPr>
            <w:tcW w:w="1952" w:type="dxa"/>
            <w:shd w:val="clear" w:color="auto" w:fill="auto"/>
            <w:vAlign w:val="center"/>
          </w:tcPr>
          <w:p w14:paraId="60BA5672">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1.1*2.35M=2.585㎡</w:t>
            </w:r>
          </w:p>
        </w:tc>
        <w:tc>
          <w:tcPr>
            <w:tcW w:w="0" w:type="auto"/>
            <w:shd w:val="clear" w:color="auto" w:fill="auto"/>
            <w:noWrap/>
            <w:vAlign w:val="center"/>
          </w:tcPr>
          <w:p w14:paraId="0CD1AD6A">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个</w:t>
            </w:r>
          </w:p>
        </w:tc>
        <w:tc>
          <w:tcPr>
            <w:tcW w:w="0" w:type="auto"/>
            <w:shd w:val="clear" w:color="auto" w:fill="auto"/>
            <w:vAlign w:val="center"/>
          </w:tcPr>
          <w:p w14:paraId="55AC3B89">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1</w:t>
            </w:r>
          </w:p>
        </w:tc>
        <w:tc>
          <w:tcPr>
            <w:tcW w:w="2516" w:type="dxa"/>
            <w:vMerge w:val="continue"/>
            <w:shd w:val="clear" w:color="auto" w:fill="auto"/>
            <w:vAlign w:val="center"/>
          </w:tcPr>
          <w:p w14:paraId="6E89DE21">
            <w:pPr>
              <w:jc w:val="center"/>
              <w:rPr>
                <w:rFonts w:ascii="宋体" w:hAnsi="宋体" w:cs="宋体"/>
                <w:szCs w:val="21"/>
              </w:rPr>
            </w:pPr>
          </w:p>
        </w:tc>
        <w:tc>
          <w:tcPr>
            <w:tcW w:w="5391" w:type="dxa"/>
            <w:vMerge w:val="continue"/>
            <w:shd w:val="clear" w:color="auto" w:fill="auto"/>
            <w:vAlign w:val="center"/>
          </w:tcPr>
          <w:p w14:paraId="0FC3FB36">
            <w:pPr>
              <w:jc w:val="left"/>
              <w:rPr>
                <w:rFonts w:ascii="宋体" w:hAnsi="宋体" w:cs="宋体"/>
                <w:szCs w:val="21"/>
              </w:rPr>
            </w:pPr>
          </w:p>
        </w:tc>
        <w:tc>
          <w:tcPr>
            <w:tcW w:w="0" w:type="auto"/>
            <w:shd w:val="clear" w:color="auto" w:fill="auto"/>
            <w:vAlign w:val="center"/>
          </w:tcPr>
          <w:p w14:paraId="515B5273">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深度60CM</w:t>
            </w:r>
          </w:p>
        </w:tc>
      </w:tr>
      <w:tr w14:paraId="00670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shd w:val="clear" w:color="auto" w:fill="auto"/>
            <w:vAlign w:val="center"/>
          </w:tcPr>
          <w:p w14:paraId="369C008C">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3</w:t>
            </w:r>
          </w:p>
        </w:tc>
        <w:tc>
          <w:tcPr>
            <w:tcW w:w="1308" w:type="dxa"/>
            <w:shd w:val="clear" w:color="auto" w:fill="auto"/>
            <w:vAlign w:val="center"/>
          </w:tcPr>
          <w:p w14:paraId="60894A9E">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定制柜（长柜）</w:t>
            </w:r>
          </w:p>
        </w:tc>
        <w:tc>
          <w:tcPr>
            <w:tcW w:w="1952" w:type="dxa"/>
            <w:shd w:val="clear" w:color="auto" w:fill="auto"/>
            <w:vAlign w:val="center"/>
          </w:tcPr>
          <w:p w14:paraId="1A834B41">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3.37*0.8M=2.696㎡</w:t>
            </w:r>
          </w:p>
        </w:tc>
        <w:tc>
          <w:tcPr>
            <w:tcW w:w="0" w:type="auto"/>
            <w:shd w:val="clear" w:color="auto" w:fill="auto"/>
            <w:vAlign w:val="center"/>
          </w:tcPr>
          <w:p w14:paraId="11D2067E">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个</w:t>
            </w:r>
          </w:p>
        </w:tc>
        <w:tc>
          <w:tcPr>
            <w:tcW w:w="0" w:type="auto"/>
            <w:shd w:val="clear" w:color="auto" w:fill="auto"/>
            <w:vAlign w:val="center"/>
          </w:tcPr>
          <w:p w14:paraId="06838E41">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2</w:t>
            </w:r>
          </w:p>
        </w:tc>
        <w:tc>
          <w:tcPr>
            <w:tcW w:w="2516" w:type="dxa"/>
            <w:vMerge w:val="restart"/>
            <w:shd w:val="clear" w:color="auto" w:fill="auto"/>
            <w:vAlign w:val="center"/>
          </w:tcPr>
          <w:p w14:paraId="5C0D84FB">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134620</wp:posOffset>
                  </wp:positionH>
                  <wp:positionV relativeFrom="paragraph">
                    <wp:posOffset>285750</wp:posOffset>
                  </wp:positionV>
                  <wp:extent cx="1295400" cy="934085"/>
                  <wp:effectExtent l="0" t="0" r="0" b="5715"/>
                  <wp:wrapNone/>
                  <wp:docPr id="91" name="ID_BFD80830D2F54D5D8A065E426FB41A89"/>
                  <wp:cNvGraphicFramePr/>
                  <a:graphic xmlns:a="http://schemas.openxmlformats.org/drawingml/2006/main">
                    <a:graphicData uri="http://schemas.openxmlformats.org/drawingml/2006/picture">
                      <pic:pic xmlns:pic="http://schemas.openxmlformats.org/drawingml/2006/picture">
                        <pic:nvPicPr>
                          <pic:cNvPr id="91" name="ID_BFD80830D2F54D5D8A065E426FB41A89"/>
                          <pic:cNvPicPr/>
                        </pic:nvPicPr>
                        <pic:blipFill>
                          <a:blip r:embed="rId10"/>
                          <a:stretch>
                            <a:fillRect/>
                          </a:stretch>
                        </pic:blipFill>
                        <pic:spPr>
                          <a:xfrm>
                            <a:off x="0" y="0"/>
                            <a:ext cx="1295400" cy="934085"/>
                          </a:xfrm>
                          <a:prstGeom prst="rect">
                            <a:avLst/>
                          </a:prstGeom>
                          <a:noFill/>
                          <a:ln>
                            <a:noFill/>
                          </a:ln>
                        </pic:spPr>
                      </pic:pic>
                    </a:graphicData>
                  </a:graphic>
                </wp:anchor>
              </w:drawing>
            </w:r>
          </w:p>
        </w:tc>
        <w:tc>
          <w:tcPr>
            <w:tcW w:w="5391" w:type="dxa"/>
            <w:vMerge w:val="restart"/>
            <w:shd w:val="clear" w:color="auto" w:fill="auto"/>
            <w:vAlign w:val="center"/>
          </w:tcPr>
          <w:p w14:paraId="6E55C3E1">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1、采用E0级多层实木板，柜体18MM，背板用9MM，层板18MM（颜色由成交供应商提供色板给采购人确定）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2、采用百隆304不锈钢门铰，高韧性弹簧，开合无声低分贝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3、符合国家《室内装饰装修材料人造板及其制品中甲醛释放限量》(GB18580-2017)，及《人造板及其制品甲醛释放量分级》(GB/T 39600-2021)的相关标准</w:t>
            </w:r>
          </w:p>
        </w:tc>
        <w:tc>
          <w:tcPr>
            <w:tcW w:w="0" w:type="auto"/>
            <w:shd w:val="clear" w:color="auto" w:fill="auto"/>
            <w:vAlign w:val="center"/>
          </w:tcPr>
          <w:p w14:paraId="4E4504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可依据实际情况拆分3-4个，含锁及所有配件</w:t>
            </w:r>
          </w:p>
        </w:tc>
      </w:tr>
      <w:tr w14:paraId="607EC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shd w:val="clear" w:color="auto" w:fill="auto"/>
            <w:vAlign w:val="center"/>
          </w:tcPr>
          <w:p w14:paraId="66368F64">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4</w:t>
            </w:r>
          </w:p>
        </w:tc>
        <w:tc>
          <w:tcPr>
            <w:tcW w:w="1308" w:type="dxa"/>
            <w:shd w:val="clear" w:color="auto" w:fill="auto"/>
            <w:vAlign w:val="center"/>
          </w:tcPr>
          <w:p w14:paraId="4A1AB052">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定制柜（长柜）</w:t>
            </w:r>
          </w:p>
        </w:tc>
        <w:tc>
          <w:tcPr>
            <w:tcW w:w="1952" w:type="dxa"/>
            <w:shd w:val="clear" w:color="auto" w:fill="auto"/>
            <w:vAlign w:val="center"/>
          </w:tcPr>
          <w:p w14:paraId="58B572FB">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3.99*0.8M=3.192㎡</w:t>
            </w:r>
          </w:p>
        </w:tc>
        <w:tc>
          <w:tcPr>
            <w:tcW w:w="0" w:type="auto"/>
            <w:shd w:val="clear" w:color="auto" w:fill="auto"/>
            <w:noWrap/>
            <w:vAlign w:val="center"/>
          </w:tcPr>
          <w:p w14:paraId="55A62776">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个</w:t>
            </w:r>
          </w:p>
        </w:tc>
        <w:tc>
          <w:tcPr>
            <w:tcW w:w="0" w:type="auto"/>
            <w:shd w:val="clear" w:color="auto" w:fill="auto"/>
            <w:vAlign w:val="center"/>
          </w:tcPr>
          <w:p w14:paraId="04AF18A8">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2</w:t>
            </w:r>
          </w:p>
        </w:tc>
        <w:tc>
          <w:tcPr>
            <w:tcW w:w="2516" w:type="dxa"/>
            <w:vMerge w:val="continue"/>
            <w:shd w:val="clear" w:color="auto" w:fill="auto"/>
            <w:vAlign w:val="center"/>
          </w:tcPr>
          <w:p w14:paraId="67F39E7D">
            <w:pPr>
              <w:jc w:val="center"/>
              <w:rPr>
                <w:rFonts w:ascii="宋体" w:hAnsi="宋体" w:cs="宋体"/>
                <w:szCs w:val="21"/>
              </w:rPr>
            </w:pPr>
          </w:p>
        </w:tc>
        <w:tc>
          <w:tcPr>
            <w:tcW w:w="5391" w:type="dxa"/>
            <w:vMerge w:val="continue"/>
            <w:shd w:val="clear" w:color="auto" w:fill="auto"/>
            <w:vAlign w:val="center"/>
          </w:tcPr>
          <w:p w14:paraId="1326373C">
            <w:pPr>
              <w:jc w:val="left"/>
              <w:rPr>
                <w:rFonts w:ascii="宋体" w:hAnsi="宋体" w:cs="宋体"/>
                <w:szCs w:val="21"/>
              </w:rPr>
            </w:pPr>
          </w:p>
        </w:tc>
        <w:tc>
          <w:tcPr>
            <w:tcW w:w="0" w:type="auto"/>
            <w:shd w:val="clear" w:color="auto" w:fill="auto"/>
            <w:vAlign w:val="center"/>
          </w:tcPr>
          <w:p w14:paraId="34AE439E">
            <w:pPr>
              <w:jc w:val="center"/>
              <w:rPr>
                <w:rFonts w:ascii="宋体" w:hAnsi="宋体" w:cs="宋体"/>
                <w:szCs w:val="21"/>
              </w:rPr>
            </w:pPr>
          </w:p>
        </w:tc>
      </w:tr>
      <w:tr w14:paraId="02E2D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shd w:val="clear" w:color="auto" w:fill="auto"/>
            <w:vAlign w:val="center"/>
          </w:tcPr>
          <w:p w14:paraId="42F65F1D">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5</w:t>
            </w:r>
          </w:p>
        </w:tc>
        <w:tc>
          <w:tcPr>
            <w:tcW w:w="1308" w:type="dxa"/>
            <w:shd w:val="clear" w:color="auto" w:fill="auto"/>
            <w:vAlign w:val="center"/>
          </w:tcPr>
          <w:p w14:paraId="364D17AB">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定制柜（长柜）</w:t>
            </w:r>
          </w:p>
        </w:tc>
        <w:tc>
          <w:tcPr>
            <w:tcW w:w="1952" w:type="dxa"/>
            <w:shd w:val="clear" w:color="auto" w:fill="auto"/>
            <w:vAlign w:val="center"/>
          </w:tcPr>
          <w:p w14:paraId="2E1C0C84">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4.5*0.8M=4.14㎡</w:t>
            </w:r>
          </w:p>
        </w:tc>
        <w:tc>
          <w:tcPr>
            <w:tcW w:w="0" w:type="auto"/>
            <w:shd w:val="clear" w:color="auto" w:fill="auto"/>
            <w:vAlign w:val="center"/>
          </w:tcPr>
          <w:p w14:paraId="671C23A2">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个</w:t>
            </w:r>
          </w:p>
        </w:tc>
        <w:tc>
          <w:tcPr>
            <w:tcW w:w="0" w:type="auto"/>
            <w:shd w:val="clear" w:color="auto" w:fill="auto"/>
            <w:vAlign w:val="center"/>
          </w:tcPr>
          <w:p w14:paraId="7B73FCA6">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1</w:t>
            </w:r>
          </w:p>
        </w:tc>
        <w:tc>
          <w:tcPr>
            <w:tcW w:w="2516" w:type="dxa"/>
            <w:vMerge w:val="continue"/>
            <w:shd w:val="clear" w:color="auto" w:fill="auto"/>
            <w:vAlign w:val="center"/>
          </w:tcPr>
          <w:p w14:paraId="112C3412">
            <w:pPr>
              <w:jc w:val="center"/>
              <w:rPr>
                <w:rFonts w:ascii="宋体" w:hAnsi="宋体" w:cs="宋体"/>
                <w:szCs w:val="21"/>
              </w:rPr>
            </w:pPr>
          </w:p>
        </w:tc>
        <w:tc>
          <w:tcPr>
            <w:tcW w:w="5391" w:type="dxa"/>
            <w:vMerge w:val="continue"/>
            <w:shd w:val="clear" w:color="auto" w:fill="auto"/>
            <w:vAlign w:val="center"/>
          </w:tcPr>
          <w:p w14:paraId="5F69905D">
            <w:pPr>
              <w:jc w:val="left"/>
              <w:rPr>
                <w:rFonts w:ascii="宋体" w:hAnsi="宋体" w:cs="宋体"/>
                <w:szCs w:val="21"/>
              </w:rPr>
            </w:pPr>
          </w:p>
        </w:tc>
        <w:tc>
          <w:tcPr>
            <w:tcW w:w="0" w:type="auto"/>
            <w:shd w:val="clear" w:color="auto" w:fill="auto"/>
            <w:vAlign w:val="center"/>
          </w:tcPr>
          <w:p w14:paraId="57B56ECF">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可依据实际情况拆分</w:t>
            </w:r>
          </w:p>
        </w:tc>
      </w:tr>
      <w:tr w14:paraId="3DA03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shd w:val="clear" w:color="auto" w:fill="auto"/>
            <w:vAlign w:val="center"/>
          </w:tcPr>
          <w:p w14:paraId="01337643">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6</w:t>
            </w:r>
          </w:p>
        </w:tc>
        <w:tc>
          <w:tcPr>
            <w:tcW w:w="1308" w:type="dxa"/>
            <w:shd w:val="clear" w:color="auto" w:fill="auto"/>
            <w:vAlign w:val="center"/>
          </w:tcPr>
          <w:p w14:paraId="6026B4C3">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定制柜（长柜）</w:t>
            </w:r>
          </w:p>
        </w:tc>
        <w:tc>
          <w:tcPr>
            <w:tcW w:w="1952" w:type="dxa"/>
            <w:shd w:val="clear" w:color="auto" w:fill="auto"/>
            <w:vAlign w:val="center"/>
          </w:tcPr>
          <w:p w14:paraId="3F6C6840">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4.45*0.8M=3.56㎡</w:t>
            </w:r>
          </w:p>
        </w:tc>
        <w:tc>
          <w:tcPr>
            <w:tcW w:w="0" w:type="auto"/>
            <w:shd w:val="clear" w:color="auto" w:fill="auto"/>
            <w:vAlign w:val="center"/>
          </w:tcPr>
          <w:p w14:paraId="4034D7B2">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个</w:t>
            </w:r>
          </w:p>
        </w:tc>
        <w:tc>
          <w:tcPr>
            <w:tcW w:w="0" w:type="auto"/>
            <w:shd w:val="clear" w:color="auto" w:fill="auto"/>
            <w:vAlign w:val="center"/>
          </w:tcPr>
          <w:p w14:paraId="61F399BA">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1</w:t>
            </w:r>
          </w:p>
        </w:tc>
        <w:tc>
          <w:tcPr>
            <w:tcW w:w="2516" w:type="dxa"/>
            <w:vMerge w:val="continue"/>
            <w:shd w:val="clear" w:color="auto" w:fill="auto"/>
            <w:vAlign w:val="center"/>
          </w:tcPr>
          <w:p w14:paraId="26FC9774">
            <w:pPr>
              <w:jc w:val="center"/>
              <w:rPr>
                <w:rFonts w:ascii="宋体" w:hAnsi="宋体" w:cs="宋体"/>
                <w:szCs w:val="21"/>
              </w:rPr>
            </w:pPr>
          </w:p>
        </w:tc>
        <w:tc>
          <w:tcPr>
            <w:tcW w:w="5391" w:type="dxa"/>
            <w:vMerge w:val="continue"/>
            <w:shd w:val="clear" w:color="auto" w:fill="auto"/>
            <w:vAlign w:val="center"/>
          </w:tcPr>
          <w:p w14:paraId="6D798A1F">
            <w:pPr>
              <w:jc w:val="left"/>
              <w:rPr>
                <w:rFonts w:ascii="宋体" w:hAnsi="宋体" w:cs="宋体"/>
                <w:szCs w:val="21"/>
              </w:rPr>
            </w:pPr>
          </w:p>
        </w:tc>
        <w:tc>
          <w:tcPr>
            <w:tcW w:w="0" w:type="auto"/>
            <w:shd w:val="clear" w:color="auto" w:fill="auto"/>
            <w:vAlign w:val="center"/>
          </w:tcPr>
          <w:p w14:paraId="2E40847E">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可依据实际情况拆分</w:t>
            </w:r>
          </w:p>
        </w:tc>
      </w:tr>
      <w:tr w14:paraId="1E444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shd w:val="clear" w:color="auto" w:fill="auto"/>
            <w:vAlign w:val="center"/>
          </w:tcPr>
          <w:p w14:paraId="376C4ED7">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7</w:t>
            </w:r>
          </w:p>
        </w:tc>
        <w:tc>
          <w:tcPr>
            <w:tcW w:w="1308" w:type="dxa"/>
            <w:shd w:val="clear" w:color="auto" w:fill="auto"/>
            <w:vAlign w:val="center"/>
          </w:tcPr>
          <w:p w14:paraId="26692EC7">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定制背景墙</w:t>
            </w:r>
          </w:p>
        </w:tc>
        <w:tc>
          <w:tcPr>
            <w:tcW w:w="1952" w:type="dxa"/>
            <w:shd w:val="clear" w:color="auto" w:fill="auto"/>
            <w:vAlign w:val="center"/>
          </w:tcPr>
          <w:p w14:paraId="6886E72D">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5.28*2.72M=14.262㎡</w:t>
            </w:r>
          </w:p>
        </w:tc>
        <w:tc>
          <w:tcPr>
            <w:tcW w:w="0" w:type="auto"/>
            <w:shd w:val="clear" w:color="auto" w:fill="auto"/>
            <w:noWrap/>
            <w:vAlign w:val="center"/>
          </w:tcPr>
          <w:p w14:paraId="3D7196C4">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面</w:t>
            </w:r>
          </w:p>
        </w:tc>
        <w:tc>
          <w:tcPr>
            <w:tcW w:w="0" w:type="auto"/>
            <w:shd w:val="clear" w:color="auto" w:fill="auto"/>
            <w:vAlign w:val="center"/>
          </w:tcPr>
          <w:p w14:paraId="671C8762">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1</w:t>
            </w:r>
          </w:p>
        </w:tc>
        <w:tc>
          <w:tcPr>
            <w:tcW w:w="2516" w:type="dxa"/>
            <w:shd w:val="clear" w:color="auto" w:fill="auto"/>
            <w:vAlign w:val="center"/>
          </w:tcPr>
          <w:p w14:paraId="4E318587">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59690</wp:posOffset>
                  </wp:positionH>
                  <wp:positionV relativeFrom="paragraph">
                    <wp:posOffset>52070</wp:posOffset>
                  </wp:positionV>
                  <wp:extent cx="1295400" cy="731520"/>
                  <wp:effectExtent l="0" t="0" r="0" b="5080"/>
                  <wp:wrapNone/>
                  <wp:docPr id="92" name="ID_5B926269B6F24AAE9E2E36E00B493B13"/>
                  <wp:cNvGraphicFramePr/>
                  <a:graphic xmlns:a="http://schemas.openxmlformats.org/drawingml/2006/main">
                    <a:graphicData uri="http://schemas.openxmlformats.org/drawingml/2006/picture">
                      <pic:pic xmlns:pic="http://schemas.openxmlformats.org/drawingml/2006/picture">
                        <pic:nvPicPr>
                          <pic:cNvPr id="92" name="ID_5B926269B6F24AAE9E2E36E00B493B13"/>
                          <pic:cNvPicPr/>
                        </pic:nvPicPr>
                        <pic:blipFill>
                          <a:blip r:embed="rId11"/>
                          <a:stretch>
                            <a:fillRect/>
                          </a:stretch>
                        </pic:blipFill>
                        <pic:spPr>
                          <a:xfrm>
                            <a:off x="0" y="0"/>
                            <a:ext cx="1295400" cy="731520"/>
                          </a:xfrm>
                          <a:prstGeom prst="rect">
                            <a:avLst/>
                          </a:prstGeom>
                          <a:noFill/>
                          <a:ln>
                            <a:noFill/>
                          </a:ln>
                        </pic:spPr>
                      </pic:pic>
                    </a:graphicData>
                  </a:graphic>
                </wp:anchor>
              </w:drawing>
            </w:r>
          </w:p>
        </w:tc>
        <w:tc>
          <w:tcPr>
            <w:tcW w:w="5391" w:type="dxa"/>
            <w:shd w:val="clear" w:color="auto" w:fill="auto"/>
            <w:vAlign w:val="center"/>
          </w:tcPr>
          <w:p w14:paraId="5279C866">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1、采用E0级多层实木板，背板用9MM，层板18MM（颜色由成交供应商提供色板给采购人确定）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2、符合国家《室内装饰装修材料人造板及其制品中甲醛释放限量》(GB18580-2017)，及《人造板及其制品甲醛释放量分级》(GB/T 39600-2021)的相关标准</w:t>
            </w:r>
          </w:p>
        </w:tc>
        <w:tc>
          <w:tcPr>
            <w:tcW w:w="0" w:type="auto"/>
            <w:shd w:val="clear" w:color="auto" w:fill="auto"/>
            <w:vAlign w:val="center"/>
          </w:tcPr>
          <w:p w14:paraId="2F6E00D4">
            <w:pPr>
              <w:jc w:val="center"/>
              <w:rPr>
                <w:rFonts w:hint="eastAsia" w:ascii="宋体" w:hAnsi="宋体" w:eastAsia="宋体" w:cs="宋体"/>
                <w:i w:val="0"/>
                <w:iCs w:val="0"/>
                <w:color w:val="000000"/>
                <w:kern w:val="0"/>
                <w:sz w:val="18"/>
                <w:szCs w:val="18"/>
                <w:u w:val="none"/>
                <w:lang w:val="en-US" w:eastAsia="zh-CN" w:bidi="ar"/>
              </w:rPr>
            </w:pPr>
          </w:p>
        </w:tc>
      </w:tr>
      <w:tr w14:paraId="71A31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0" w:type="auto"/>
            <w:shd w:val="clear" w:color="auto" w:fill="auto"/>
            <w:vAlign w:val="center"/>
          </w:tcPr>
          <w:p w14:paraId="09B0A84E">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8</w:t>
            </w:r>
          </w:p>
        </w:tc>
        <w:tc>
          <w:tcPr>
            <w:tcW w:w="1308" w:type="dxa"/>
            <w:shd w:val="clear" w:color="auto" w:fill="auto"/>
            <w:vAlign w:val="center"/>
          </w:tcPr>
          <w:p w14:paraId="4AEA4B8A">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人造石英石台面</w:t>
            </w:r>
          </w:p>
        </w:tc>
        <w:tc>
          <w:tcPr>
            <w:tcW w:w="1952" w:type="dxa"/>
            <w:shd w:val="clear" w:color="auto" w:fill="auto"/>
            <w:vAlign w:val="center"/>
          </w:tcPr>
          <w:p w14:paraId="4787CA1D">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0.6m*4.45m=2.67㎡</w:t>
            </w:r>
          </w:p>
        </w:tc>
        <w:tc>
          <w:tcPr>
            <w:tcW w:w="0" w:type="auto"/>
            <w:shd w:val="clear" w:color="auto" w:fill="auto"/>
            <w:noWrap/>
            <w:vAlign w:val="center"/>
          </w:tcPr>
          <w:p w14:paraId="19620FFF">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张</w:t>
            </w:r>
          </w:p>
        </w:tc>
        <w:tc>
          <w:tcPr>
            <w:tcW w:w="0" w:type="auto"/>
            <w:shd w:val="clear" w:color="auto" w:fill="auto"/>
            <w:vAlign w:val="center"/>
          </w:tcPr>
          <w:p w14:paraId="3683A3D7">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1</w:t>
            </w:r>
          </w:p>
        </w:tc>
        <w:tc>
          <w:tcPr>
            <w:tcW w:w="2516" w:type="dxa"/>
            <w:shd w:val="clear" w:color="auto" w:fill="auto"/>
            <w:vAlign w:val="center"/>
          </w:tcPr>
          <w:p w14:paraId="585F23EB">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154305</wp:posOffset>
                  </wp:positionH>
                  <wp:positionV relativeFrom="paragraph">
                    <wp:posOffset>21590</wp:posOffset>
                  </wp:positionV>
                  <wp:extent cx="1085850" cy="751205"/>
                  <wp:effectExtent l="0" t="0" r="6350" b="10795"/>
                  <wp:wrapNone/>
                  <wp:docPr id="93" name="ID_A7CEB65B6AE24ADFA082F5D077C219DE"/>
                  <wp:cNvGraphicFramePr/>
                  <a:graphic xmlns:a="http://schemas.openxmlformats.org/drawingml/2006/main">
                    <a:graphicData uri="http://schemas.openxmlformats.org/drawingml/2006/picture">
                      <pic:pic xmlns:pic="http://schemas.openxmlformats.org/drawingml/2006/picture">
                        <pic:nvPicPr>
                          <pic:cNvPr id="93" name="ID_A7CEB65B6AE24ADFA082F5D077C219DE"/>
                          <pic:cNvPicPr/>
                        </pic:nvPicPr>
                        <pic:blipFill>
                          <a:blip r:embed="rId12"/>
                          <a:stretch>
                            <a:fillRect/>
                          </a:stretch>
                        </pic:blipFill>
                        <pic:spPr>
                          <a:xfrm>
                            <a:off x="0" y="0"/>
                            <a:ext cx="1085850" cy="751205"/>
                          </a:xfrm>
                          <a:prstGeom prst="rect">
                            <a:avLst/>
                          </a:prstGeom>
                          <a:noFill/>
                          <a:ln>
                            <a:noFill/>
                          </a:ln>
                        </pic:spPr>
                      </pic:pic>
                    </a:graphicData>
                  </a:graphic>
                </wp:anchor>
              </w:drawing>
            </w:r>
          </w:p>
        </w:tc>
        <w:tc>
          <w:tcPr>
            <w:tcW w:w="5391" w:type="dxa"/>
            <w:shd w:val="clear" w:color="auto" w:fill="auto"/>
            <w:vAlign w:val="center"/>
          </w:tcPr>
          <w:p w14:paraId="77BC1746">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采用抗渗透、耐刮花、硬度强的人造大理石，厚度不低于15mm，颜色简洁大方（需提供样板确认），环保健康；含走线打孔，边角打磨等。</w:t>
            </w:r>
          </w:p>
        </w:tc>
        <w:tc>
          <w:tcPr>
            <w:tcW w:w="0" w:type="auto"/>
            <w:shd w:val="clear" w:color="auto" w:fill="auto"/>
            <w:vAlign w:val="center"/>
          </w:tcPr>
          <w:p w14:paraId="6D87B7DA">
            <w:pPr>
              <w:jc w:val="center"/>
              <w:rPr>
                <w:rFonts w:hint="eastAsia" w:ascii="宋体" w:hAnsi="宋体" w:eastAsia="宋体" w:cs="宋体"/>
                <w:i w:val="0"/>
                <w:iCs w:val="0"/>
                <w:color w:val="000000"/>
                <w:kern w:val="0"/>
                <w:sz w:val="18"/>
                <w:szCs w:val="18"/>
                <w:u w:val="none"/>
                <w:lang w:val="en-US" w:eastAsia="zh-CN" w:bidi="ar"/>
              </w:rPr>
            </w:pPr>
          </w:p>
        </w:tc>
      </w:tr>
      <w:tr w14:paraId="679E8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0" w:type="auto"/>
            <w:shd w:val="clear" w:color="auto" w:fill="auto"/>
            <w:vAlign w:val="center"/>
          </w:tcPr>
          <w:p w14:paraId="40CA13EB">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9</w:t>
            </w:r>
          </w:p>
        </w:tc>
        <w:tc>
          <w:tcPr>
            <w:tcW w:w="1308" w:type="dxa"/>
            <w:shd w:val="clear" w:color="auto" w:fill="auto"/>
            <w:vAlign w:val="center"/>
          </w:tcPr>
          <w:p w14:paraId="70B461BA">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人造石英石台面</w:t>
            </w:r>
          </w:p>
        </w:tc>
        <w:tc>
          <w:tcPr>
            <w:tcW w:w="1952" w:type="dxa"/>
            <w:shd w:val="clear" w:color="auto" w:fill="auto"/>
            <w:vAlign w:val="center"/>
          </w:tcPr>
          <w:p w14:paraId="551D0E82">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0.5m*4.5m=2.25㎡</w:t>
            </w:r>
          </w:p>
        </w:tc>
        <w:tc>
          <w:tcPr>
            <w:tcW w:w="0" w:type="auto"/>
            <w:shd w:val="clear" w:color="auto" w:fill="auto"/>
            <w:vAlign w:val="center"/>
          </w:tcPr>
          <w:p w14:paraId="0F7A2C32">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张</w:t>
            </w:r>
          </w:p>
        </w:tc>
        <w:tc>
          <w:tcPr>
            <w:tcW w:w="0" w:type="auto"/>
            <w:shd w:val="clear" w:color="auto" w:fill="auto"/>
            <w:vAlign w:val="center"/>
          </w:tcPr>
          <w:p w14:paraId="75047FBE">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1</w:t>
            </w:r>
          </w:p>
        </w:tc>
        <w:tc>
          <w:tcPr>
            <w:tcW w:w="2516" w:type="dxa"/>
            <w:shd w:val="clear" w:color="auto" w:fill="auto"/>
            <w:vAlign w:val="center"/>
          </w:tcPr>
          <w:p w14:paraId="6835F963">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196850</wp:posOffset>
                  </wp:positionH>
                  <wp:positionV relativeFrom="paragraph">
                    <wp:posOffset>-10160</wp:posOffset>
                  </wp:positionV>
                  <wp:extent cx="1085850" cy="751205"/>
                  <wp:effectExtent l="0" t="0" r="6350" b="10795"/>
                  <wp:wrapNone/>
                  <wp:docPr id="94" name="ID_A7CEB65B6AE24ADFA082F5D077C219DE_SpCnt_1"/>
                  <wp:cNvGraphicFramePr/>
                  <a:graphic xmlns:a="http://schemas.openxmlformats.org/drawingml/2006/main">
                    <a:graphicData uri="http://schemas.openxmlformats.org/drawingml/2006/picture">
                      <pic:pic xmlns:pic="http://schemas.openxmlformats.org/drawingml/2006/picture">
                        <pic:nvPicPr>
                          <pic:cNvPr id="94" name="ID_A7CEB65B6AE24ADFA082F5D077C219DE_SpCnt_1"/>
                          <pic:cNvPicPr/>
                        </pic:nvPicPr>
                        <pic:blipFill>
                          <a:blip r:embed="rId12"/>
                          <a:stretch>
                            <a:fillRect/>
                          </a:stretch>
                        </pic:blipFill>
                        <pic:spPr>
                          <a:xfrm>
                            <a:off x="0" y="0"/>
                            <a:ext cx="1085850" cy="751205"/>
                          </a:xfrm>
                          <a:prstGeom prst="rect">
                            <a:avLst/>
                          </a:prstGeom>
                          <a:noFill/>
                          <a:ln>
                            <a:noFill/>
                          </a:ln>
                        </pic:spPr>
                      </pic:pic>
                    </a:graphicData>
                  </a:graphic>
                </wp:anchor>
              </w:drawing>
            </w:r>
          </w:p>
        </w:tc>
        <w:tc>
          <w:tcPr>
            <w:tcW w:w="5391" w:type="dxa"/>
            <w:shd w:val="clear" w:color="auto" w:fill="auto"/>
            <w:vAlign w:val="center"/>
          </w:tcPr>
          <w:p w14:paraId="0DD2A99D">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采用抗渗透、耐刮花、硬度强的人造大理石，厚度不低于15mm，颜色简洁大方（需提供样板确认），环保健康；含走线打孔，边角打磨等。</w:t>
            </w:r>
          </w:p>
        </w:tc>
        <w:tc>
          <w:tcPr>
            <w:tcW w:w="0" w:type="auto"/>
            <w:shd w:val="clear" w:color="auto" w:fill="auto"/>
            <w:vAlign w:val="center"/>
          </w:tcPr>
          <w:p w14:paraId="36F37C41">
            <w:pPr>
              <w:jc w:val="center"/>
              <w:rPr>
                <w:rFonts w:hint="eastAsia" w:ascii="宋体" w:hAnsi="宋体" w:eastAsia="宋体" w:cs="宋体"/>
                <w:i w:val="0"/>
                <w:iCs w:val="0"/>
                <w:color w:val="000000"/>
                <w:kern w:val="0"/>
                <w:sz w:val="18"/>
                <w:szCs w:val="18"/>
                <w:u w:val="none"/>
                <w:lang w:val="en-US" w:eastAsia="zh-CN" w:bidi="ar"/>
              </w:rPr>
            </w:pPr>
          </w:p>
        </w:tc>
      </w:tr>
      <w:tr w14:paraId="423BF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5" w:hRule="atLeast"/>
          <w:jc w:val="center"/>
        </w:trPr>
        <w:tc>
          <w:tcPr>
            <w:tcW w:w="0" w:type="auto"/>
            <w:shd w:val="clear" w:color="auto" w:fill="auto"/>
            <w:vAlign w:val="center"/>
          </w:tcPr>
          <w:p w14:paraId="1FCAE8B4">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10</w:t>
            </w:r>
          </w:p>
        </w:tc>
        <w:tc>
          <w:tcPr>
            <w:tcW w:w="1308" w:type="dxa"/>
            <w:shd w:val="clear" w:color="auto" w:fill="auto"/>
            <w:vAlign w:val="center"/>
          </w:tcPr>
          <w:p w14:paraId="3B862611">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办公沙发五件套</w:t>
            </w:r>
          </w:p>
        </w:tc>
        <w:tc>
          <w:tcPr>
            <w:tcW w:w="1952" w:type="dxa"/>
            <w:shd w:val="clear" w:color="auto" w:fill="auto"/>
            <w:vAlign w:val="center"/>
          </w:tcPr>
          <w:p w14:paraId="144142C8">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三位：2060*850*890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单位：1060*850*890*2个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长几:1500*750*500        方几：750*750*500</w:t>
            </w:r>
          </w:p>
        </w:tc>
        <w:tc>
          <w:tcPr>
            <w:tcW w:w="0" w:type="auto"/>
            <w:shd w:val="clear" w:color="auto" w:fill="auto"/>
            <w:vAlign w:val="center"/>
          </w:tcPr>
          <w:p w14:paraId="76BEBFA8">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套</w:t>
            </w:r>
          </w:p>
        </w:tc>
        <w:tc>
          <w:tcPr>
            <w:tcW w:w="0" w:type="auto"/>
            <w:shd w:val="clear" w:color="auto" w:fill="auto"/>
            <w:vAlign w:val="center"/>
          </w:tcPr>
          <w:p w14:paraId="3C8C5051">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1</w:t>
            </w:r>
          </w:p>
        </w:tc>
        <w:tc>
          <w:tcPr>
            <w:tcW w:w="2516" w:type="dxa"/>
            <w:shd w:val="clear" w:color="auto" w:fill="auto"/>
            <w:vAlign w:val="center"/>
          </w:tcPr>
          <w:p w14:paraId="2B68168B">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-20320</wp:posOffset>
                  </wp:positionH>
                  <wp:positionV relativeFrom="paragraph">
                    <wp:posOffset>-464185</wp:posOffset>
                  </wp:positionV>
                  <wp:extent cx="1394460" cy="826135"/>
                  <wp:effectExtent l="0" t="0" r="2540" b="12065"/>
                  <wp:wrapNone/>
                  <wp:docPr id="95" name="ID_A42F64CF9FDA4BB59BF8C803BF7BF3C6"/>
                  <wp:cNvGraphicFramePr/>
                  <a:graphic xmlns:a="http://schemas.openxmlformats.org/drawingml/2006/main">
                    <a:graphicData uri="http://schemas.openxmlformats.org/drawingml/2006/picture">
                      <pic:pic xmlns:pic="http://schemas.openxmlformats.org/drawingml/2006/picture">
                        <pic:nvPicPr>
                          <pic:cNvPr id="95" name="ID_A42F64CF9FDA4BB59BF8C803BF7BF3C6"/>
                          <pic:cNvPicPr/>
                        </pic:nvPicPr>
                        <pic:blipFill>
                          <a:blip r:embed="rId13"/>
                          <a:stretch>
                            <a:fillRect/>
                          </a:stretch>
                        </pic:blipFill>
                        <pic:spPr>
                          <a:xfrm>
                            <a:off x="0" y="0"/>
                            <a:ext cx="1394460" cy="826135"/>
                          </a:xfrm>
                          <a:prstGeom prst="rect">
                            <a:avLst/>
                          </a:prstGeom>
                          <a:noFill/>
                          <a:ln>
                            <a:noFill/>
                          </a:ln>
                        </pic:spPr>
                      </pic:pic>
                    </a:graphicData>
                  </a:graphic>
                </wp:anchor>
              </w:drawing>
            </w:r>
          </w:p>
        </w:tc>
        <w:tc>
          <w:tcPr>
            <w:tcW w:w="5391" w:type="dxa"/>
            <w:shd w:val="clear" w:color="auto" w:fill="auto"/>
            <w:vAlign w:val="center"/>
          </w:tcPr>
          <w:p w14:paraId="16CDDA95">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1.材质：沙发座面、靠背、扶手均采用头层牛皮，皮面柔软亲肤性好，经防污处理，清洁方便，厚度1.5mm； （沙发颜色提供色板选择）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2.填充海绵：采用一次成型优质东亚牌环保高弹45#高密度海棉，质保十年不变形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3.沙发框架：采用落叶松，符合国家木工通用技术标准，含水率低于10%的硬木木方及EO级15mm多层实木板；弹簧：采用高锰钢蛇形网弹簧，强力织带橡筋。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茶几，边几其他要求：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贴面材料采用优质严选胡桃木实木皮饰面；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封边用材采用优质实木木材；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基材采用优质高密度纤维板，优质绿色环保产品,符合国家E1级标准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油漆采用华润或同等品牌优质优漆，符合国家E1级环保要求；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五金配件采用优质五金配件、连接件；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必须符合GB/T3324-2017《木家具通用技术条件》</w:t>
            </w:r>
          </w:p>
        </w:tc>
        <w:tc>
          <w:tcPr>
            <w:tcW w:w="0" w:type="auto"/>
            <w:shd w:val="clear" w:color="auto" w:fill="auto"/>
            <w:vAlign w:val="center"/>
          </w:tcPr>
          <w:p w14:paraId="71ECA513">
            <w:pPr>
              <w:jc w:val="center"/>
              <w:rPr>
                <w:rFonts w:hint="eastAsia" w:ascii="宋体" w:hAnsi="宋体" w:eastAsia="宋体" w:cs="宋体"/>
                <w:i w:val="0"/>
                <w:iCs w:val="0"/>
                <w:color w:val="000000"/>
                <w:kern w:val="0"/>
                <w:sz w:val="18"/>
                <w:szCs w:val="18"/>
                <w:u w:val="none"/>
                <w:lang w:val="en-US" w:eastAsia="zh-CN" w:bidi="ar"/>
              </w:rPr>
            </w:pPr>
          </w:p>
        </w:tc>
      </w:tr>
      <w:tr w14:paraId="60331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shd w:val="clear" w:color="auto" w:fill="auto"/>
            <w:vAlign w:val="center"/>
          </w:tcPr>
          <w:p w14:paraId="736D72D0">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11</w:t>
            </w:r>
          </w:p>
        </w:tc>
        <w:tc>
          <w:tcPr>
            <w:tcW w:w="1308" w:type="dxa"/>
            <w:shd w:val="clear" w:color="auto" w:fill="auto"/>
            <w:vAlign w:val="center"/>
          </w:tcPr>
          <w:p w14:paraId="1405EF74">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茶水柜</w:t>
            </w:r>
          </w:p>
        </w:tc>
        <w:tc>
          <w:tcPr>
            <w:tcW w:w="1952" w:type="dxa"/>
            <w:shd w:val="clear" w:color="auto" w:fill="auto"/>
            <w:vAlign w:val="center"/>
          </w:tcPr>
          <w:p w14:paraId="3E5B4071">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1200*400*850mm</w:t>
            </w:r>
          </w:p>
        </w:tc>
        <w:tc>
          <w:tcPr>
            <w:tcW w:w="0" w:type="auto"/>
            <w:shd w:val="clear" w:color="auto" w:fill="auto"/>
            <w:vAlign w:val="center"/>
          </w:tcPr>
          <w:p w14:paraId="1E0265CE">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个</w:t>
            </w:r>
          </w:p>
        </w:tc>
        <w:tc>
          <w:tcPr>
            <w:tcW w:w="0" w:type="auto"/>
            <w:shd w:val="clear" w:color="auto" w:fill="auto"/>
            <w:vAlign w:val="center"/>
          </w:tcPr>
          <w:p w14:paraId="47287657">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2</w:t>
            </w:r>
          </w:p>
        </w:tc>
        <w:tc>
          <w:tcPr>
            <w:tcW w:w="2516" w:type="dxa"/>
            <w:shd w:val="clear" w:color="auto" w:fill="auto"/>
            <w:vAlign w:val="center"/>
          </w:tcPr>
          <w:p w14:paraId="6E1399B2">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209550</wp:posOffset>
                  </wp:positionH>
                  <wp:positionV relativeFrom="paragraph">
                    <wp:posOffset>29845</wp:posOffset>
                  </wp:positionV>
                  <wp:extent cx="1018540" cy="878205"/>
                  <wp:effectExtent l="0" t="0" r="10160" b="10795"/>
                  <wp:wrapNone/>
                  <wp:docPr id="96" name="ID_BC1B08918E1A4DF5B563E3F10E5D841E"/>
                  <wp:cNvGraphicFramePr/>
                  <a:graphic xmlns:a="http://schemas.openxmlformats.org/drawingml/2006/main">
                    <a:graphicData uri="http://schemas.openxmlformats.org/drawingml/2006/picture">
                      <pic:pic xmlns:pic="http://schemas.openxmlformats.org/drawingml/2006/picture">
                        <pic:nvPicPr>
                          <pic:cNvPr id="96" name="ID_BC1B08918E1A4DF5B563E3F10E5D841E"/>
                          <pic:cNvPicPr/>
                        </pic:nvPicPr>
                        <pic:blipFill>
                          <a:blip r:embed="rId14"/>
                          <a:stretch>
                            <a:fillRect/>
                          </a:stretch>
                        </pic:blipFill>
                        <pic:spPr>
                          <a:xfrm>
                            <a:off x="0" y="0"/>
                            <a:ext cx="1018540" cy="878205"/>
                          </a:xfrm>
                          <a:prstGeom prst="rect">
                            <a:avLst/>
                          </a:prstGeom>
                          <a:noFill/>
                          <a:ln>
                            <a:noFill/>
                          </a:ln>
                        </pic:spPr>
                      </pic:pic>
                    </a:graphicData>
                  </a:graphic>
                </wp:anchor>
              </w:drawing>
            </w:r>
          </w:p>
        </w:tc>
        <w:tc>
          <w:tcPr>
            <w:tcW w:w="5391" w:type="dxa"/>
            <w:shd w:val="clear" w:color="auto" w:fill="auto"/>
            <w:vAlign w:val="center"/>
          </w:tcPr>
          <w:p w14:paraId="38DE1DFF">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1.主材全橡木实木，颜色胡桃色，材质稳定，防腐防虫，采用高品质净味环保油漆；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钢化玻璃门，优质五金门铰，内置层板。EO级优质环保板材，胡桃木木皮贴面，木皮厚度≥0.6mm，环保油漆喷涂，优质五金件，静音缓冲五金门铰，精心打磨边角，符合国家《室内装饰装修材料人造板及其制品中甲醛释放限量》(GB18580-2017)，及《人造板及其制品甲醛释放量分级》(GB/T 39600-2021)的相关标准</w:t>
            </w:r>
          </w:p>
        </w:tc>
        <w:tc>
          <w:tcPr>
            <w:tcW w:w="0" w:type="auto"/>
            <w:shd w:val="clear" w:color="auto" w:fill="auto"/>
            <w:vAlign w:val="center"/>
          </w:tcPr>
          <w:p w14:paraId="7B03E7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由于家具特殊性，可允许误差±1-2cm</w:t>
            </w:r>
          </w:p>
        </w:tc>
      </w:tr>
      <w:tr w14:paraId="474D1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jc w:val="center"/>
        </w:trPr>
        <w:tc>
          <w:tcPr>
            <w:tcW w:w="0" w:type="auto"/>
            <w:shd w:val="clear" w:color="auto" w:fill="auto"/>
            <w:vAlign w:val="center"/>
          </w:tcPr>
          <w:p w14:paraId="26051250">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12</w:t>
            </w:r>
          </w:p>
        </w:tc>
        <w:tc>
          <w:tcPr>
            <w:tcW w:w="1308" w:type="dxa"/>
            <w:shd w:val="clear" w:color="auto" w:fill="auto"/>
            <w:vAlign w:val="center"/>
          </w:tcPr>
          <w:p w14:paraId="6AE0EBEE">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移动办公长条桌</w:t>
            </w:r>
          </w:p>
        </w:tc>
        <w:tc>
          <w:tcPr>
            <w:tcW w:w="1952" w:type="dxa"/>
            <w:shd w:val="clear" w:color="auto" w:fill="auto"/>
            <w:vAlign w:val="center"/>
          </w:tcPr>
          <w:p w14:paraId="13166405">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长120*宽60*高75cm</w:t>
            </w:r>
          </w:p>
        </w:tc>
        <w:tc>
          <w:tcPr>
            <w:tcW w:w="0" w:type="auto"/>
            <w:shd w:val="clear" w:color="auto" w:fill="auto"/>
            <w:noWrap/>
            <w:vAlign w:val="center"/>
          </w:tcPr>
          <w:p w14:paraId="1AEBD000">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张</w:t>
            </w:r>
          </w:p>
        </w:tc>
        <w:tc>
          <w:tcPr>
            <w:tcW w:w="0" w:type="auto"/>
            <w:shd w:val="clear" w:color="auto" w:fill="auto"/>
            <w:vAlign w:val="center"/>
          </w:tcPr>
          <w:p w14:paraId="2088F1AF">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6</w:t>
            </w:r>
          </w:p>
        </w:tc>
        <w:tc>
          <w:tcPr>
            <w:tcW w:w="2516" w:type="dxa"/>
            <w:shd w:val="clear" w:color="auto" w:fill="auto"/>
            <w:vAlign w:val="center"/>
          </w:tcPr>
          <w:p w14:paraId="66A2E44C">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261620</wp:posOffset>
                  </wp:positionH>
                  <wp:positionV relativeFrom="paragraph">
                    <wp:posOffset>47625</wp:posOffset>
                  </wp:positionV>
                  <wp:extent cx="1146175" cy="787400"/>
                  <wp:effectExtent l="0" t="0" r="9525" b="0"/>
                  <wp:wrapNone/>
                  <wp:docPr id="97" name="ID_82AEC062086A4CC699BABE58752DC925"/>
                  <wp:cNvGraphicFramePr/>
                  <a:graphic xmlns:a="http://schemas.openxmlformats.org/drawingml/2006/main">
                    <a:graphicData uri="http://schemas.openxmlformats.org/drawingml/2006/picture">
                      <pic:pic xmlns:pic="http://schemas.openxmlformats.org/drawingml/2006/picture">
                        <pic:nvPicPr>
                          <pic:cNvPr id="97" name="ID_82AEC062086A4CC699BABE58752DC925"/>
                          <pic:cNvPicPr/>
                        </pic:nvPicPr>
                        <pic:blipFill>
                          <a:blip r:embed="rId15"/>
                          <a:stretch>
                            <a:fillRect/>
                          </a:stretch>
                        </pic:blipFill>
                        <pic:spPr>
                          <a:xfrm>
                            <a:off x="0" y="0"/>
                            <a:ext cx="1146175" cy="787400"/>
                          </a:xfrm>
                          <a:prstGeom prst="rect">
                            <a:avLst/>
                          </a:prstGeom>
                          <a:noFill/>
                          <a:ln>
                            <a:noFill/>
                          </a:ln>
                        </pic:spPr>
                      </pic:pic>
                    </a:graphicData>
                  </a:graphic>
                </wp:anchor>
              </w:drawing>
            </w:r>
          </w:p>
        </w:tc>
        <w:tc>
          <w:tcPr>
            <w:tcW w:w="5391" w:type="dxa"/>
            <w:shd w:val="clear" w:color="auto" w:fill="auto"/>
            <w:vAlign w:val="center"/>
          </w:tcPr>
          <w:p w14:paraId="7DF77A53">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桌板采用E1级加厚环保板材，加厚桌面PVC封边，厚度</w:t>
            </w:r>
            <w:r>
              <w:rPr>
                <w:rStyle w:val="123"/>
                <w:rFonts w:eastAsia="宋体"/>
                <w:lang w:val="en-US" w:eastAsia="zh-CN" w:bidi="ar"/>
              </w:rPr>
              <w:t>≥</w:t>
            </w:r>
            <w:r>
              <w:rPr>
                <w:rStyle w:val="124"/>
                <w:lang w:val="en-US" w:eastAsia="zh-CN" w:bidi="ar"/>
              </w:rPr>
              <w:t>25mm；静音万向轮（带刹车），子母扣，桌腿是1.5mm冷轧钢，刚制置物板，高温静电喷涂，网孔钢制挡板，颜色可以定制，材质只能优于</w:t>
            </w:r>
          </w:p>
        </w:tc>
        <w:tc>
          <w:tcPr>
            <w:tcW w:w="0" w:type="auto"/>
            <w:shd w:val="clear" w:color="auto" w:fill="auto"/>
            <w:vAlign w:val="center"/>
          </w:tcPr>
          <w:p w14:paraId="6E9F09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由于家具特殊性，可允许误差±1-2cm</w:t>
            </w:r>
          </w:p>
        </w:tc>
      </w:tr>
      <w:tr w14:paraId="3895A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shd w:val="clear" w:color="auto" w:fill="auto"/>
            <w:vAlign w:val="center"/>
          </w:tcPr>
          <w:p w14:paraId="3DDF4186">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13</w:t>
            </w:r>
          </w:p>
        </w:tc>
        <w:tc>
          <w:tcPr>
            <w:tcW w:w="1308" w:type="dxa"/>
            <w:shd w:val="clear" w:color="auto" w:fill="auto"/>
            <w:vAlign w:val="center"/>
          </w:tcPr>
          <w:p w14:paraId="50DF9F5C">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移动办公长条桌</w:t>
            </w:r>
          </w:p>
        </w:tc>
        <w:tc>
          <w:tcPr>
            <w:tcW w:w="1952" w:type="dxa"/>
            <w:shd w:val="clear" w:color="auto" w:fill="auto"/>
            <w:vAlign w:val="center"/>
          </w:tcPr>
          <w:p w14:paraId="7B6E88F5">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长140*宽60*高75cm</w:t>
            </w:r>
          </w:p>
        </w:tc>
        <w:tc>
          <w:tcPr>
            <w:tcW w:w="0" w:type="auto"/>
            <w:shd w:val="clear" w:color="auto" w:fill="auto"/>
            <w:vAlign w:val="center"/>
          </w:tcPr>
          <w:p w14:paraId="6A1FD063">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张</w:t>
            </w:r>
          </w:p>
        </w:tc>
        <w:tc>
          <w:tcPr>
            <w:tcW w:w="0" w:type="auto"/>
            <w:shd w:val="clear" w:color="auto" w:fill="auto"/>
            <w:vAlign w:val="center"/>
          </w:tcPr>
          <w:p w14:paraId="19378BDA">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52</w:t>
            </w:r>
          </w:p>
        </w:tc>
        <w:tc>
          <w:tcPr>
            <w:tcW w:w="2516" w:type="dxa"/>
            <w:shd w:val="clear" w:color="auto" w:fill="auto"/>
            <w:vAlign w:val="center"/>
          </w:tcPr>
          <w:p w14:paraId="014A8E18">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240665</wp:posOffset>
                  </wp:positionH>
                  <wp:positionV relativeFrom="paragraph">
                    <wp:posOffset>36830</wp:posOffset>
                  </wp:positionV>
                  <wp:extent cx="1146175" cy="789940"/>
                  <wp:effectExtent l="0" t="0" r="9525" b="10160"/>
                  <wp:wrapNone/>
                  <wp:docPr id="98" name="ID_58FC0DDE96584E438C6F8D8F3846E00F"/>
                  <wp:cNvGraphicFramePr/>
                  <a:graphic xmlns:a="http://schemas.openxmlformats.org/drawingml/2006/main">
                    <a:graphicData uri="http://schemas.openxmlformats.org/drawingml/2006/picture">
                      <pic:pic xmlns:pic="http://schemas.openxmlformats.org/drawingml/2006/picture">
                        <pic:nvPicPr>
                          <pic:cNvPr id="98" name="ID_58FC0DDE96584E438C6F8D8F3846E00F"/>
                          <pic:cNvPicPr/>
                        </pic:nvPicPr>
                        <pic:blipFill>
                          <a:blip r:embed="rId15"/>
                          <a:stretch>
                            <a:fillRect/>
                          </a:stretch>
                        </pic:blipFill>
                        <pic:spPr>
                          <a:xfrm>
                            <a:off x="0" y="0"/>
                            <a:ext cx="1146175" cy="789940"/>
                          </a:xfrm>
                          <a:prstGeom prst="rect">
                            <a:avLst/>
                          </a:prstGeom>
                          <a:noFill/>
                          <a:ln>
                            <a:noFill/>
                          </a:ln>
                        </pic:spPr>
                      </pic:pic>
                    </a:graphicData>
                  </a:graphic>
                </wp:anchor>
              </w:drawing>
            </w:r>
          </w:p>
        </w:tc>
        <w:tc>
          <w:tcPr>
            <w:tcW w:w="5391" w:type="dxa"/>
            <w:shd w:val="clear" w:color="auto" w:fill="auto"/>
            <w:vAlign w:val="center"/>
          </w:tcPr>
          <w:p w14:paraId="66CFFB31">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一桌多用，可自由拼接，桌板采用E1级加厚环保板材，易清洗不沾水油，耐刮蹭，耐热耐高温，厚度≥25mm加厚桌面，PVC光滑封边；高承载耐磨静音万向轮（带刹车），子母扣；品质钢架，1.5mm全系冷轧钢，高温静电喷涂冷轧管，钢制置物板，高温静电喷涂，网孔钢制挡板，颜色可以定制。材质只能优于</w:t>
            </w:r>
          </w:p>
        </w:tc>
        <w:tc>
          <w:tcPr>
            <w:tcW w:w="0" w:type="auto"/>
            <w:shd w:val="clear" w:color="auto" w:fill="auto"/>
            <w:vAlign w:val="center"/>
          </w:tcPr>
          <w:p w14:paraId="3C9FA3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由于家具特殊性，可允许误差±1-2cm</w:t>
            </w:r>
          </w:p>
        </w:tc>
      </w:tr>
      <w:tr w14:paraId="56524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jc w:val="center"/>
        </w:trPr>
        <w:tc>
          <w:tcPr>
            <w:tcW w:w="0" w:type="auto"/>
            <w:shd w:val="clear" w:color="auto" w:fill="auto"/>
            <w:vAlign w:val="center"/>
          </w:tcPr>
          <w:p w14:paraId="48F5674B">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14</w:t>
            </w:r>
          </w:p>
        </w:tc>
        <w:tc>
          <w:tcPr>
            <w:tcW w:w="1308" w:type="dxa"/>
            <w:shd w:val="clear" w:color="auto" w:fill="auto"/>
            <w:vAlign w:val="center"/>
          </w:tcPr>
          <w:p w14:paraId="7EDFB08B">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会议讨论室办公椅</w:t>
            </w:r>
          </w:p>
        </w:tc>
        <w:tc>
          <w:tcPr>
            <w:tcW w:w="1952" w:type="dxa"/>
            <w:shd w:val="clear" w:color="auto" w:fill="auto"/>
            <w:vAlign w:val="center"/>
          </w:tcPr>
          <w:p w14:paraId="120B19D4">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长60*宽50*高85CM</w:t>
            </w:r>
          </w:p>
        </w:tc>
        <w:tc>
          <w:tcPr>
            <w:tcW w:w="0" w:type="auto"/>
            <w:shd w:val="clear" w:color="auto" w:fill="auto"/>
            <w:vAlign w:val="center"/>
          </w:tcPr>
          <w:p w14:paraId="530DD04B">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张</w:t>
            </w:r>
          </w:p>
        </w:tc>
        <w:tc>
          <w:tcPr>
            <w:tcW w:w="0" w:type="auto"/>
            <w:shd w:val="clear" w:color="auto" w:fill="auto"/>
            <w:vAlign w:val="center"/>
          </w:tcPr>
          <w:p w14:paraId="674720A2">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120</w:t>
            </w:r>
          </w:p>
        </w:tc>
        <w:tc>
          <w:tcPr>
            <w:tcW w:w="2516" w:type="dxa"/>
            <w:shd w:val="clear" w:color="auto" w:fill="auto"/>
            <w:vAlign w:val="center"/>
          </w:tcPr>
          <w:p w14:paraId="6A6D31DA">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157480</wp:posOffset>
                  </wp:positionH>
                  <wp:positionV relativeFrom="paragraph">
                    <wp:posOffset>83185</wp:posOffset>
                  </wp:positionV>
                  <wp:extent cx="1220470" cy="921385"/>
                  <wp:effectExtent l="0" t="0" r="11430" b="5715"/>
                  <wp:wrapNone/>
                  <wp:docPr id="99" name="ID_CFA33BA858D74FA2916DE3442AD996F5"/>
                  <wp:cNvGraphicFramePr/>
                  <a:graphic xmlns:a="http://schemas.openxmlformats.org/drawingml/2006/main">
                    <a:graphicData uri="http://schemas.openxmlformats.org/drawingml/2006/picture">
                      <pic:pic xmlns:pic="http://schemas.openxmlformats.org/drawingml/2006/picture">
                        <pic:nvPicPr>
                          <pic:cNvPr id="99" name="ID_CFA33BA858D74FA2916DE3442AD996F5"/>
                          <pic:cNvPicPr/>
                        </pic:nvPicPr>
                        <pic:blipFill>
                          <a:blip r:embed="rId16"/>
                          <a:stretch>
                            <a:fillRect/>
                          </a:stretch>
                        </pic:blipFill>
                        <pic:spPr>
                          <a:xfrm>
                            <a:off x="0" y="0"/>
                            <a:ext cx="1220470" cy="921385"/>
                          </a:xfrm>
                          <a:prstGeom prst="rect">
                            <a:avLst/>
                          </a:prstGeom>
                          <a:noFill/>
                          <a:ln>
                            <a:noFill/>
                          </a:ln>
                        </pic:spPr>
                      </pic:pic>
                    </a:graphicData>
                  </a:graphic>
                </wp:anchor>
              </w:drawing>
            </w:r>
          </w:p>
        </w:tc>
        <w:tc>
          <w:tcPr>
            <w:tcW w:w="5391" w:type="dxa"/>
            <w:shd w:val="clear" w:color="auto" w:fill="auto"/>
            <w:vAlign w:val="center"/>
          </w:tcPr>
          <w:p w14:paraId="5D3719E8">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可折叠办公椅，椅脚材质为烤漆钢管(净厚1.5MM)，护腰靠背，靠背材质PP+(网布面料)，海绵50MM厚定型海绵，固定扶手，座垫材质为坐壳PP+弹力布面制，颜色可以定制，尺寸数据可存在少量差异。材质只能优于</w:t>
            </w:r>
          </w:p>
        </w:tc>
        <w:tc>
          <w:tcPr>
            <w:tcW w:w="0" w:type="auto"/>
            <w:shd w:val="clear" w:color="auto" w:fill="auto"/>
            <w:vAlign w:val="center"/>
          </w:tcPr>
          <w:p w14:paraId="7FB076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备注</w:t>
            </w:r>
          </w:p>
        </w:tc>
      </w:tr>
      <w:tr w14:paraId="75360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0" w:type="auto"/>
            <w:shd w:val="clear" w:color="auto" w:fill="auto"/>
            <w:vAlign w:val="center"/>
          </w:tcPr>
          <w:p w14:paraId="3C2CC9D2">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15</w:t>
            </w:r>
          </w:p>
        </w:tc>
        <w:tc>
          <w:tcPr>
            <w:tcW w:w="1308" w:type="dxa"/>
            <w:shd w:val="clear" w:color="auto" w:fill="auto"/>
            <w:vAlign w:val="center"/>
          </w:tcPr>
          <w:p w14:paraId="01A112CB">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办公桌</w:t>
            </w:r>
          </w:p>
        </w:tc>
        <w:tc>
          <w:tcPr>
            <w:tcW w:w="1952" w:type="dxa"/>
            <w:shd w:val="clear" w:color="auto" w:fill="auto"/>
            <w:vAlign w:val="center"/>
          </w:tcPr>
          <w:p w14:paraId="51C8EF54">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长160*宽80*高75cm</w:t>
            </w:r>
          </w:p>
        </w:tc>
        <w:tc>
          <w:tcPr>
            <w:tcW w:w="0" w:type="auto"/>
            <w:shd w:val="clear" w:color="auto" w:fill="auto"/>
            <w:vAlign w:val="center"/>
          </w:tcPr>
          <w:p w14:paraId="7E676855">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张</w:t>
            </w:r>
          </w:p>
        </w:tc>
        <w:tc>
          <w:tcPr>
            <w:tcW w:w="0" w:type="auto"/>
            <w:shd w:val="clear" w:color="auto" w:fill="auto"/>
            <w:vAlign w:val="center"/>
          </w:tcPr>
          <w:p w14:paraId="029A77A8">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3</w:t>
            </w:r>
          </w:p>
        </w:tc>
        <w:tc>
          <w:tcPr>
            <w:tcW w:w="2516" w:type="dxa"/>
            <w:shd w:val="clear" w:color="auto" w:fill="auto"/>
            <w:vAlign w:val="center"/>
          </w:tcPr>
          <w:p w14:paraId="072139B4">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FF"/>
                <w:kern w:val="0"/>
                <w:sz w:val="22"/>
                <w:szCs w:val="22"/>
                <w:u w:val="singl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225425</wp:posOffset>
                  </wp:positionH>
                  <wp:positionV relativeFrom="paragraph">
                    <wp:posOffset>141605</wp:posOffset>
                  </wp:positionV>
                  <wp:extent cx="1161415" cy="465455"/>
                  <wp:effectExtent l="0" t="0" r="6985" b="4445"/>
                  <wp:wrapNone/>
                  <wp:docPr id="100" name="图片_1"/>
                  <wp:cNvGraphicFramePr/>
                  <a:graphic xmlns:a="http://schemas.openxmlformats.org/drawingml/2006/main">
                    <a:graphicData uri="http://schemas.openxmlformats.org/drawingml/2006/picture">
                      <pic:pic xmlns:pic="http://schemas.openxmlformats.org/drawingml/2006/picture">
                        <pic:nvPicPr>
                          <pic:cNvPr id="100" name="图片_1"/>
                          <pic:cNvPicPr/>
                        </pic:nvPicPr>
                        <pic:blipFill>
                          <a:blip r:embed="rId17"/>
                          <a:stretch>
                            <a:fillRect/>
                          </a:stretch>
                        </pic:blipFill>
                        <pic:spPr>
                          <a:xfrm>
                            <a:off x="0" y="0"/>
                            <a:ext cx="1161415" cy="465455"/>
                          </a:xfrm>
                          <a:prstGeom prst="rect">
                            <a:avLst/>
                          </a:prstGeom>
                          <a:noFill/>
                          <a:ln>
                            <a:noFill/>
                          </a:ln>
                        </pic:spPr>
                      </pic:pic>
                    </a:graphicData>
                  </a:graphic>
                </wp:anchor>
              </w:drawing>
            </w:r>
          </w:p>
        </w:tc>
        <w:tc>
          <w:tcPr>
            <w:tcW w:w="5391" w:type="dxa"/>
            <w:shd w:val="clear" w:color="auto" w:fill="auto"/>
            <w:vAlign w:val="center"/>
          </w:tcPr>
          <w:p w14:paraId="5DF04410">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现代简约办公桌，经典胡桃色，EO级环保板材，胡桃木贴皮，加厚承重台面，智能线缆管理，优质五金配件，侧柜左右安装，带抽屉、键盘架等</w:t>
            </w:r>
          </w:p>
        </w:tc>
        <w:tc>
          <w:tcPr>
            <w:tcW w:w="0" w:type="auto"/>
            <w:shd w:val="clear" w:color="auto" w:fill="auto"/>
            <w:vAlign w:val="center"/>
          </w:tcPr>
          <w:p w14:paraId="6DAD89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含锁及所有配件</w:t>
            </w:r>
          </w:p>
        </w:tc>
      </w:tr>
      <w:tr w14:paraId="3BCBB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jc w:val="center"/>
        </w:trPr>
        <w:tc>
          <w:tcPr>
            <w:tcW w:w="0" w:type="auto"/>
            <w:shd w:val="clear" w:color="auto" w:fill="auto"/>
            <w:vAlign w:val="center"/>
          </w:tcPr>
          <w:p w14:paraId="4FE80746">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16</w:t>
            </w:r>
          </w:p>
        </w:tc>
        <w:tc>
          <w:tcPr>
            <w:tcW w:w="1308" w:type="dxa"/>
            <w:shd w:val="clear" w:color="auto" w:fill="auto"/>
            <w:vAlign w:val="center"/>
          </w:tcPr>
          <w:p w14:paraId="4440A146">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办公椅</w:t>
            </w:r>
          </w:p>
        </w:tc>
        <w:tc>
          <w:tcPr>
            <w:tcW w:w="1952" w:type="dxa"/>
            <w:shd w:val="clear" w:color="auto" w:fill="auto"/>
            <w:vAlign w:val="center"/>
          </w:tcPr>
          <w:p w14:paraId="1396FC2C">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45cm*44cm*44cm*90cm高</w:t>
            </w:r>
          </w:p>
        </w:tc>
        <w:tc>
          <w:tcPr>
            <w:tcW w:w="0" w:type="auto"/>
            <w:shd w:val="clear" w:color="auto" w:fill="auto"/>
            <w:vAlign w:val="center"/>
          </w:tcPr>
          <w:p w14:paraId="1C4C5A84">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0"/>
                <w:szCs w:val="20"/>
                <w:u w:val="none"/>
                <w:lang w:val="en-US" w:eastAsia="zh-CN" w:bidi="ar"/>
              </w:rPr>
              <w:t>张</w:t>
            </w:r>
          </w:p>
        </w:tc>
        <w:tc>
          <w:tcPr>
            <w:tcW w:w="0" w:type="auto"/>
            <w:shd w:val="clear" w:color="auto" w:fill="auto"/>
            <w:vAlign w:val="center"/>
          </w:tcPr>
          <w:p w14:paraId="71947E22">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0"/>
                <w:szCs w:val="20"/>
                <w:u w:val="none"/>
                <w:lang w:val="en-US" w:eastAsia="zh-CN" w:bidi="ar"/>
              </w:rPr>
              <w:t>3</w:t>
            </w:r>
          </w:p>
        </w:tc>
        <w:tc>
          <w:tcPr>
            <w:tcW w:w="2516" w:type="dxa"/>
            <w:shd w:val="clear" w:color="auto" w:fill="auto"/>
            <w:vAlign w:val="center"/>
          </w:tcPr>
          <w:p w14:paraId="684C431F">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396240</wp:posOffset>
                  </wp:positionH>
                  <wp:positionV relativeFrom="paragraph">
                    <wp:posOffset>-334645</wp:posOffset>
                  </wp:positionV>
                  <wp:extent cx="894080" cy="807720"/>
                  <wp:effectExtent l="0" t="0" r="7620" b="5080"/>
                  <wp:wrapNone/>
                  <wp:docPr id="101" name="图片_4"/>
                  <wp:cNvGraphicFramePr/>
                  <a:graphic xmlns:a="http://schemas.openxmlformats.org/drawingml/2006/main">
                    <a:graphicData uri="http://schemas.openxmlformats.org/drawingml/2006/picture">
                      <pic:pic xmlns:pic="http://schemas.openxmlformats.org/drawingml/2006/picture">
                        <pic:nvPicPr>
                          <pic:cNvPr id="101" name="图片_4"/>
                          <pic:cNvPicPr/>
                        </pic:nvPicPr>
                        <pic:blipFill>
                          <a:blip r:embed="rId18"/>
                          <a:stretch>
                            <a:fillRect/>
                          </a:stretch>
                        </pic:blipFill>
                        <pic:spPr>
                          <a:xfrm>
                            <a:off x="0" y="0"/>
                            <a:ext cx="894080" cy="807720"/>
                          </a:xfrm>
                          <a:prstGeom prst="rect">
                            <a:avLst/>
                          </a:prstGeom>
                          <a:noFill/>
                          <a:ln>
                            <a:noFill/>
                          </a:ln>
                        </pic:spPr>
                      </pic:pic>
                    </a:graphicData>
                  </a:graphic>
                </wp:anchor>
              </w:drawing>
            </w:r>
          </w:p>
        </w:tc>
        <w:tc>
          <w:tcPr>
            <w:tcW w:w="5391" w:type="dxa"/>
            <w:shd w:val="clear" w:color="auto" w:fill="auto"/>
            <w:vAlign w:val="center"/>
          </w:tcPr>
          <w:p w14:paraId="3511A8A6">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18"/>
                <w:szCs w:val="18"/>
                <w:u w:val="none"/>
                <w:lang w:val="en-US" w:eastAsia="zh-CN" w:bidi="ar"/>
              </w:rPr>
              <w:t>实木椅子，橡木实木，厚实椅脚，椅脚是整木单独制成，无拼接，受力均匀，承重力强，质量稳固，与上述15项办公桌颜色配套</w:t>
            </w:r>
          </w:p>
        </w:tc>
        <w:tc>
          <w:tcPr>
            <w:tcW w:w="0" w:type="auto"/>
            <w:shd w:val="clear" w:color="auto" w:fill="auto"/>
            <w:vAlign w:val="center"/>
          </w:tcPr>
          <w:p w14:paraId="780803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深度60CM</w:t>
            </w:r>
          </w:p>
        </w:tc>
      </w:tr>
      <w:tr w14:paraId="1A1D8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4174" w:type="dxa"/>
            <w:gridSpan w:val="8"/>
            <w:shd w:val="clear" w:color="auto" w:fill="auto"/>
            <w:vAlign w:val="center"/>
          </w:tcPr>
          <w:p w14:paraId="12F73720">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备注：所有的家具均需要看样定板。</w:t>
            </w:r>
          </w:p>
        </w:tc>
      </w:tr>
    </w:tbl>
    <w:p w14:paraId="6DD76412">
      <w:pPr>
        <w:pStyle w:val="22"/>
        <w:widowControl w:val="0"/>
        <w:tabs>
          <w:tab w:val="left" w:pos="540"/>
        </w:tabs>
        <w:adjustRightInd w:val="0"/>
        <w:snapToGrid w:val="0"/>
        <w:spacing w:before="0" w:beforeAutospacing="0" w:after="0" w:afterAutospacing="0" w:line="360" w:lineRule="auto"/>
        <w:jc w:val="both"/>
        <w:rPr>
          <w:rFonts w:cs="楷体_GB2312"/>
          <w:b/>
          <w:sz w:val="21"/>
          <w:szCs w:val="21"/>
        </w:rPr>
        <w:sectPr>
          <w:pgSz w:w="16838" w:h="11906" w:orient="landscape"/>
          <w:pgMar w:top="1797" w:right="1440" w:bottom="1797" w:left="1440" w:header="851" w:footer="992" w:gutter="0"/>
          <w:cols w:space="720" w:num="1"/>
          <w:docGrid w:type="lines" w:linePitch="312" w:charSpace="0"/>
        </w:sectPr>
      </w:pPr>
    </w:p>
    <w:p w14:paraId="4DE3B256">
      <w:pPr>
        <w:pStyle w:val="3"/>
        <w:keepNext w:val="0"/>
        <w:keepLines w:val="0"/>
        <w:pageBreakBefore w:val="0"/>
        <w:widowControl w:val="0"/>
        <w:numPr>
          <w:ilvl w:val="0"/>
          <w:numId w:val="14"/>
        </w:numPr>
        <w:kinsoku/>
        <w:wordWrap/>
        <w:overflowPunct/>
        <w:topLinePunct w:val="0"/>
        <w:autoSpaceDE/>
        <w:autoSpaceDN/>
        <w:bidi w:val="0"/>
        <w:spacing w:before="0" w:after="0"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样品要求</w:t>
      </w:r>
    </w:p>
    <w:p w14:paraId="09D2AF47">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b/>
          <w:sz w:val="21"/>
          <w:szCs w:val="21"/>
        </w:rPr>
      </w:pPr>
      <w:r>
        <w:rPr>
          <w:rFonts w:hint="eastAsia" w:ascii="宋体" w:hAnsi="宋体" w:eastAsia="宋体" w:cs="宋体"/>
          <w:sz w:val="21"/>
          <w:szCs w:val="21"/>
          <w:lang w:bidi="ar"/>
        </w:rPr>
        <w:t>为确保本项目保质保量及诚信履约，采购人对货物需求已在采购清单及技术要求中做出明确，在合同签订后，通过勘验现场，与采购人协商，提供实物样品，经采购人及成交人确认后，作为履约、验收的参考，并按需求</w:t>
      </w:r>
      <w:r>
        <w:rPr>
          <w:rFonts w:hint="eastAsia" w:ascii="宋体" w:hAnsi="宋体" w:eastAsia="宋体" w:cs="宋体"/>
          <w:sz w:val="21"/>
          <w:szCs w:val="21"/>
        </w:rPr>
        <w:t>数量</w:t>
      </w:r>
      <w:r>
        <w:rPr>
          <w:rFonts w:hint="eastAsia" w:ascii="宋体" w:hAnsi="宋体" w:eastAsia="宋体" w:cs="宋体"/>
          <w:sz w:val="21"/>
          <w:szCs w:val="21"/>
          <w:lang w:bidi="ar"/>
        </w:rPr>
        <w:t>批量生产，30个工作日内交货并安装完毕（本项目具体交货安装时间受实训中心基建工程项目施工进度直接影响，具体送货安装时间以采购人通知为准）。成交人第一次提供的样品确认不符合竞价文件需求的，经沟通，纠正，在第二次提供样品时仍不符合的，为避免延误交货，采购人有权立即解除合同，扣除全部履约保证金并追偿因此造成所有的损失。未经双方确认批量生产的货物，因材质、参数、规格不符或其它原因导致无法验收的损失由成交供应商自行负责。</w:t>
      </w:r>
    </w:p>
    <w:p w14:paraId="300D519C">
      <w:pPr>
        <w:pStyle w:val="3"/>
        <w:keepNext w:val="0"/>
        <w:keepLines w:val="0"/>
        <w:pageBreakBefore w:val="0"/>
        <w:widowControl w:val="0"/>
        <w:numPr>
          <w:ilvl w:val="0"/>
          <w:numId w:val="14"/>
        </w:numPr>
        <w:kinsoku/>
        <w:wordWrap/>
        <w:overflowPunct/>
        <w:topLinePunct w:val="0"/>
        <w:autoSpaceDE/>
        <w:autoSpaceDN/>
        <w:bidi w:val="0"/>
        <w:spacing w:before="0" w:after="0"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商务要求</w:t>
      </w:r>
    </w:p>
    <w:p w14:paraId="03AB33C8">
      <w:pPr>
        <w:keepNext w:val="0"/>
        <w:keepLines w:val="0"/>
        <w:pageBreakBefore w:val="0"/>
        <w:widowControl w:val="0"/>
        <w:numPr>
          <w:ilvl w:val="0"/>
          <w:numId w:val="15"/>
        </w:numPr>
        <w:kinsoku/>
        <w:wordWrap/>
        <w:overflowPunct/>
        <w:topLinePunct w:val="0"/>
        <w:autoSpaceDE/>
        <w:autoSpaceDN/>
        <w:bidi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lang w:bidi="ar"/>
        </w:rPr>
        <w:t>质保期及售后服务要求</w:t>
      </w:r>
    </w:p>
    <w:p w14:paraId="1754436A">
      <w:pPr>
        <w:keepNext w:val="0"/>
        <w:keepLines w:val="0"/>
        <w:pageBreakBefore w:val="0"/>
        <w:widowControl w:val="0"/>
        <w:numPr>
          <w:ilvl w:val="0"/>
          <w:numId w:val="16"/>
        </w:numPr>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bidi="ar"/>
        </w:rPr>
        <w:t>本项目所有货物质量保证期（简称“质保期”）为2年，质保期从验收合格之日起计算，质保期内成交人对所供货物实行包修、包换、包退、包维护保养。</w:t>
      </w:r>
    </w:p>
    <w:p w14:paraId="30DDC957">
      <w:pPr>
        <w:keepNext w:val="0"/>
        <w:keepLines w:val="0"/>
        <w:pageBreakBefore w:val="0"/>
        <w:widowControl w:val="0"/>
        <w:numPr>
          <w:ilvl w:val="0"/>
          <w:numId w:val="16"/>
        </w:numPr>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b/>
          <w:sz w:val="21"/>
          <w:szCs w:val="21"/>
        </w:rPr>
      </w:pPr>
      <w:r>
        <w:rPr>
          <w:rFonts w:hint="eastAsia" w:ascii="宋体" w:hAnsi="宋体" w:eastAsia="宋体" w:cs="宋体"/>
          <w:sz w:val="21"/>
          <w:szCs w:val="21"/>
          <w:lang w:bidi="ar"/>
        </w:rPr>
        <w:t>对采购人的服务通知，成交人在接报后3小时内响应，12小时内到达现场，72小时内处理完毕。若在72小时内仍未能有效解决，成交人须免费提供同档次的货物予采购人临时使用。</w:t>
      </w:r>
    </w:p>
    <w:p w14:paraId="2B5162DD">
      <w:pPr>
        <w:keepNext w:val="0"/>
        <w:keepLines w:val="0"/>
        <w:pageBreakBefore w:val="0"/>
        <w:widowControl w:val="0"/>
        <w:numPr>
          <w:ilvl w:val="0"/>
          <w:numId w:val="15"/>
        </w:numPr>
        <w:kinsoku/>
        <w:wordWrap/>
        <w:overflowPunct/>
        <w:topLinePunct w:val="0"/>
        <w:autoSpaceDE/>
        <w:autoSpaceDN/>
        <w:bidi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lang w:bidi="ar"/>
        </w:rPr>
        <w:t>包装、保险及发运、保管要求</w:t>
      </w:r>
    </w:p>
    <w:p w14:paraId="44B39260">
      <w:pPr>
        <w:keepNext w:val="0"/>
        <w:keepLines w:val="0"/>
        <w:pageBreakBefore w:val="0"/>
        <w:widowControl w:val="0"/>
        <w:numPr>
          <w:ilvl w:val="0"/>
          <w:numId w:val="17"/>
        </w:numPr>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bidi="ar"/>
        </w:rPr>
        <w:t>货物为全新货物，包装必须是制造商原厂包装，其包装均应有良好的防湿、防锈、防潮、防雨、防腐及防碰撞的措施。凡由于包装不良造成的损失和由此产生的费用均由成交人承担。</w:t>
      </w:r>
    </w:p>
    <w:p w14:paraId="4723F022">
      <w:pPr>
        <w:keepNext w:val="0"/>
        <w:keepLines w:val="0"/>
        <w:pageBreakBefore w:val="0"/>
        <w:widowControl w:val="0"/>
        <w:numPr>
          <w:ilvl w:val="0"/>
          <w:numId w:val="17"/>
        </w:numPr>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bidi="ar"/>
        </w:rPr>
        <w:t>成交人负责将货物货到现场过程中的全部运输，包括装卸车、货物现场的搬运。</w:t>
      </w:r>
    </w:p>
    <w:p w14:paraId="1BEB4D67">
      <w:pPr>
        <w:keepNext w:val="0"/>
        <w:keepLines w:val="0"/>
        <w:pageBreakBefore w:val="0"/>
        <w:widowControl w:val="0"/>
        <w:numPr>
          <w:ilvl w:val="0"/>
          <w:numId w:val="17"/>
        </w:numPr>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bidi="ar"/>
        </w:rPr>
        <w:t>货物在现场的保管由成交人负责，直至项目安装、验收完毕。</w:t>
      </w:r>
    </w:p>
    <w:p w14:paraId="68F74957">
      <w:pPr>
        <w:keepNext w:val="0"/>
        <w:keepLines w:val="0"/>
        <w:pageBreakBefore w:val="0"/>
        <w:widowControl w:val="0"/>
        <w:numPr>
          <w:ilvl w:val="0"/>
          <w:numId w:val="17"/>
        </w:numPr>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bidi="ar"/>
        </w:rPr>
        <w:t>货物在验收合格前的保险由成交人负责，成交人负责其派出的现场服务人员人身意外保险，服务期间，如发生工人伤亡事故或其它经济损失，全部责任及费用由成交人负责。</w:t>
      </w:r>
    </w:p>
    <w:p w14:paraId="1F02E15F">
      <w:pPr>
        <w:keepNext w:val="0"/>
        <w:keepLines w:val="0"/>
        <w:pageBreakBefore w:val="0"/>
        <w:widowControl w:val="0"/>
        <w:numPr>
          <w:ilvl w:val="0"/>
          <w:numId w:val="17"/>
        </w:numPr>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bidi="ar"/>
        </w:rPr>
        <w:t>货物至采购人指定的使用现场的包装、保险及发运等环节和费用均由成交人负责。</w:t>
      </w:r>
    </w:p>
    <w:p w14:paraId="2630F198">
      <w:pPr>
        <w:keepNext w:val="0"/>
        <w:keepLines w:val="0"/>
        <w:pageBreakBefore w:val="0"/>
        <w:widowControl w:val="0"/>
        <w:numPr>
          <w:ilvl w:val="0"/>
          <w:numId w:val="15"/>
        </w:numPr>
        <w:kinsoku/>
        <w:wordWrap/>
        <w:overflowPunct/>
        <w:topLinePunct w:val="0"/>
        <w:autoSpaceDE/>
        <w:autoSpaceDN/>
        <w:bidi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lang w:bidi="ar"/>
        </w:rPr>
        <w:t>安装与验收</w:t>
      </w:r>
    </w:p>
    <w:p w14:paraId="680E5618">
      <w:pPr>
        <w:keepNext w:val="0"/>
        <w:keepLines w:val="0"/>
        <w:pageBreakBefore w:val="0"/>
        <w:widowControl w:val="0"/>
        <w:numPr>
          <w:ilvl w:val="0"/>
          <w:numId w:val="18"/>
        </w:numPr>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bidi="ar"/>
        </w:rPr>
        <w:t>成交人必须依照采购文件的要求和响应文件的承诺，将货物安装至正常使用的最佳状态。</w:t>
      </w:r>
    </w:p>
    <w:p w14:paraId="66056E3A">
      <w:pPr>
        <w:keepNext w:val="0"/>
        <w:keepLines w:val="0"/>
        <w:pageBreakBefore w:val="0"/>
        <w:widowControl w:val="0"/>
        <w:numPr>
          <w:ilvl w:val="0"/>
          <w:numId w:val="18"/>
        </w:numPr>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bidi="ar"/>
        </w:rPr>
        <w:t>货物若有国家标准按照国家标准验收，若无国家标准按行业标准验收，为原制造商制造的全新产品，整体无污染，无侵权行为、表面无划损、无任何缺陷隐患，在中国境内可依常规安全合法使用。</w:t>
      </w:r>
    </w:p>
    <w:p w14:paraId="6A947C2F">
      <w:pPr>
        <w:keepNext w:val="0"/>
        <w:keepLines w:val="0"/>
        <w:pageBreakBefore w:val="0"/>
        <w:widowControl w:val="0"/>
        <w:numPr>
          <w:ilvl w:val="0"/>
          <w:numId w:val="18"/>
        </w:numPr>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bidi="ar"/>
        </w:rPr>
        <w:t>货物为原厂商未启封全新包装，具有出厂合格证，序列号、包装箱号与出厂批号一致，并可追索查阅。所有随货物的附件必须齐全。</w:t>
      </w:r>
    </w:p>
    <w:p w14:paraId="2050FDD1">
      <w:pPr>
        <w:keepNext w:val="0"/>
        <w:keepLines w:val="0"/>
        <w:pageBreakBefore w:val="0"/>
        <w:widowControl w:val="0"/>
        <w:numPr>
          <w:ilvl w:val="0"/>
          <w:numId w:val="18"/>
        </w:numPr>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bidi="ar"/>
        </w:rPr>
        <w:t>成交人应将货物的用户手册、保修手册、有关单证资料及配备件、随机工具等交付给采购人，使用操作及安全须知等重要资料应附有中文说明。</w:t>
      </w:r>
    </w:p>
    <w:p w14:paraId="49DCDEB6">
      <w:pPr>
        <w:keepNext w:val="0"/>
        <w:keepLines w:val="0"/>
        <w:pageBreakBefore w:val="0"/>
        <w:widowControl w:val="0"/>
        <w:numPr>
          <w:ilvl w:val="0"/>
          <w:numId w:val="18"/>
        </w:numPr>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bidi="ar"/>
        </w:rPr>
        <w:t>采购人组成验收小组按国家相关行业有关规定、规范进行验收，将采取随机破开、钻孔等方式对货物进行验收，必要时邀请相关的专业人员或机构参与验收。验收时，因货物质量问题发生争议时，由成交人所在地质量技术监督部门鉴定，鉴定费由成交人承担。如验收不合格，由成交人限期整改，如再次验收不合格，采购人有权利单方面解除合同，并由成交人赔付采购人一切损失。</w:t>
      </w:r>
    </w:p>
    <w:p w14:paraId="33729A0A">
      <w:pPr>
        <w:keepNext w:val="0"/>
        <w:keepLines w:val="0"/>
        <w:pageBreakBefore w:val="0"/>
        <w:widowControl w:val="0"/>
        <w:numPr>
          <w:ilvl w:val="0"/>
          <w:numId w:val="15"/>
        </w:numPr>
        <w:kinsoku/>
        <w:wordWrap/>
        <w:overflowPunct/>
        <w:topLinePunct w:val="0"/>
        <w:autoSpaceDE/>
        <w:autoSpaceDN/>
        <w:bidi w:val="0"/>
        <w:snapToGrid w:val="0"/>
        <w:spacing w:line="360" w:lineRule="auto"/>
        <w:textAlignment w:val="auto"/>
        <w:rPr>
          <w:rFonts w:hint="eastAsia" w:ascii="宋体" w:hAnsi="宋体" w:eastAsia="宋体" w:cs="宋体"/>
          <w:bCs/>
          <w:sz w:val="21"/>
          <w:szCs w:val="21"/>
          <w:lang w:bidi="ar"/>
        </w:rPr>
      </w:pPr>
      <w:r>
        <w:rPr>
          <w:rFonts w:hint="eastAsia" w:ascii="宋体" w:hAnsi="宋体" w:eastAsia="宋体" w:cs="宋体"/>
          <w:bCs/>
          <w:sz w:val="21"/>
          <w:szCs w:val="21"/>
          <w:lang w:bidi="ar"/>
        </w:rPr>
        <w:t>成交人应提供友好和专业的服务态度，负责人与采购人对需求和要求进行沟通，及时回答并解决采购人的问题。</w:t>
      </w:r>
    </w:p>
    <w:p w14:paraId="3AE5D177">
      <w:pPr>
        <w:keepNext w:val="0"/>
        <w:keepLines w:val="0"/>
        <w:pageBreakBefore w:val="0"/>
        <w:widowControl w:val="0"/>
        <w:numPr>
          <w:ilvl w:val="0"/>
          <w:numId w:val="15"/>
        </w:numPr>
        <w:kinsoku/>
        <w:wordWrap/>
        <w:overflowPunct/>
        <w:topLinePunct w:val="0"/>
        <w:autoSpaceDE/>
        <w:autoSpaceDN/>
        <w:bidi w:val="0"/>
        <w:snapToGrid w:val="0"/>
        <w:spacing w:line="360" w:lineRule="auto"/>
        <w:textAlignment w:val="auto"/>
        <w:rPr>
          <w:rFonts w:hint="eastAsia" w:ascii="宋体" w:hAnsi="宋体" w:eastAsia="宋体" w:cs="宋体"/>
          <w:bCs/>
          <w:sz w:val="21"/>
          <w:szCs w:val="21"/>
          <w:lang w:bidi="ar"/>
        </w:rPr>
      </w:pPr>
      <w:r>
        <w:rPr>
          <w:rFonts w:hint="eastAsia" w:ascii="宋体" w:hAnsi="宋体" w:eastAsia="宋体" w:cs="宋体"/>
          <w:bCs/>
          <w:sz w:val="21"/>
          <w:szCs w:val="21"/>
          <w:lang w:bidi="ar"/>
        </w:rPr>
        <w:t>成交人应遵守采购人的管理制度及保密制度，不得泄露采购人的相关情况。</w:t>
      </w:r>
    </w:p>
    <w:p w14:paraId="2717B892">
      <w:pPr>
        <w:pStyle w:val="3"/>
        <w:keepNext w:val="0"/>
        <w:keepLines w:val="0"/>
        <w:pageBreakBefore w:val="0"/>
        <w:widowControl w:val="0"/>
        <w:numPr>
          <w:ilvl w:val="0"/>
          <w:numId w:val="14"/>
        </w:numPr>
        <w:kinsoku/>
        <w:wordWrap/>
        <w:overflowPunct/>
        <w:topLinePunct w:val="0"/>
        <w:autoSpaceDE/>
        <w:autoSpaceDN/>
        <w:bidi w:val="0"/>
        <w:spacing w:before="0" w:after="0"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付款方式</w:t>
      </w:r>
    </w:p>
    <w:p w14:paraId="624CAAB6">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b/>
          <w:sz w:val="21"/>
          <w:szCs w:val="21"/>
        </w:rPr>
      </w:pPr>
      <w:r>
        <w:rPr>
          <w:rFonts w:hint="eastAsia" w:ascii="宋体" w:hAnsi="宋体" w:eastAsia="宋体" w:cs="宋体"/>
          <w:sz w:val="21"/>
          <w:szCs w:val="21"/>
          <w:lang w:bidi="ar"/>
        </w:rPr>
        <w:t>货物送达采购人指定地点并完成安装，经采购人验收小组验收合格后，成交人开具合同价款等额的</w:t>
      </w:r>
      <w:r>
        <w:rPr>
          <w:rFonts w:hint="eastAsia" w:ascii="宋体" w:hAnsi="宋体" w:eastAsia="宋体" w:cs="宋体"/>
          <w:b/>
          <w:bCs/>
          <w:sz w:val="21"/>
          <w:szCs w:val="21"/>
          <w:lang w:bidi="ar"/>
        </w:rPr>
        <w:t>增值税专用发票</w:t>
      </w:r>
      <w:r>
        <w:rPr>
          <w:rFonts w:hint="eastAsia" w:ascii="宋体" w:hAnsi="宋体" w:eastAsia="宋体" w:cs="宋体"/>
          <w:sz w:val="21"/>
          <w:szCs w:val="21"/>
          <w:lang w:bidi="ar"/>
        </w:rPr>
        <w:t>，采购人在收到发票后30个工作日内向成交人支付合同价款。</w:t>
      </w:r>
    </w:p>
    <w:p w14:paraId="52CA9548">
      <w:pPr>
        <w:pStyle w:val="3"/>
        <w:keepNext w:val="0"/>
        <w:keepLines w:val="0"/>
        <w:pageBreakBefore w:val="0"/>
        <w:widowControl w:val="0"/>
        <w:numPr>
          <w:ilvl w:val="0"/>
          <w:numId w:val="14"/>
        </w:numPr>
        <w:kinsoku/>
        <w:wordWrap/>
        <w:overflowPunct/>
        <w:topLinePunct w:val="0"/>
        <w:autoSpaceDE/>
        <w:autoSpaceDN/>
        <w:bidi w:val="0"/>
        <w:spacing w:before="0" w:after="0"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其他说明</w:t>
      </w:r>
    </w:p>
    <w:p w14:paraId="54A40D0E">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bidi="ar"/>
        </w:rPr>
        <w:t>本项目成交人报价包含货物、人工、运输、安装、搬运、调试、质保、税费等与本项目相关的一切费用。</w:t>
      </w:r>
    </w:p>
    <w:p w14:paraId="6F4BD751">
      <w:pPr>
        <w:pStyle w:val="3"/>
        <w:keepNext w:val="0"/>
        <w:keepLines w:val="0"/>
        <w:pageBreakBefore w:val="0"/>
        <w:widowControl w:val="0"/>
        <w:numPr>
          <w:ilvl w:val="0"/>
          <w:numId w:val="14"/>
        </w:numPr>
        <w:kinsoku/>
        <w:wordWrap/>
        <w:overflowPunct/>
        <w:topLinePunct w:val="0"/>
        <w:autoSpaceDE/>
        <w:autoSpaceDN/>
        <w:bidi w:val="0"/>
        <w:spacing w:before="0" w:after="0"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履约保证金</w:t>
      </w:r>
    </w:p>
    <w:p w14:paraId="333905D5">
      <w:pPr>
        <w:keepNext w:val="0"/>
        <w:keepLines w:val="0"/>
        <w:pageBreakBefore w:val="0"/>
        <w:widowControl w:val="0"/>
        <w:numPr>
          <w:ilvl w:val="-1"/>
          <w:numId w:val="0"/>
        </w:numPr>
        <w:kinsoku/>
        <w:wordWrap/>
        <w:overflowPunct/>
        <w:topLinePunct w:val="0"/>
        <w:autoSpaceDE/>
        <w:autoSpaceDN/>
        <w:bidi w:val="0"/>
        <w:spacing w:line="360" w:lineRule="auto"/>
        <w:ind w:left="0" w:firstLine="420" w:firstLineChars="200"/>
        <w:textAlignment w:val="auto"/>
        <w:rPr>
          <w:rFonts w:hint="eastAsia" w:ascii="宋体" w:hAnsi="宋体" w:eastAsia="宋体" w:cs="宋体"/>
          <w:sz w:val="21"/>
          <w:szCs w:val="21"/>
          <w:lang w:bidi="ar"/>
        </w:rPr>
      </w:pPr>
      <w:r>
        <w:rPr>
          <w:rFonts w:hint="eastAsia" w:ascii="宋体" w:hAnsi="宋体" w:eastAsia="宋体" w:cs="宋体"/>
          <w:sz w:val="21"/>
          <w:szCs w:val="21"/>
          <w:lang w:bidi="ar"/>
        </w:rPr>
        <w:t>合同签订后的15个工作日内供应商向采购人交纳合同总金额的5%作为履约保证金；履约保证金在货物验收</w:t>
      </w:r>
      <w:r>
        <w:rPr>
          <w:rFonts w:hint="eastAsia" w:ascii="宋体" w:hAnsi="宋体" w:eastAsia="宋体" w:cs="宋体"/>
          <w:sz w:val="21"/>
          <w:szCs w:val="21"/>
          <w:lang w:val="en-US" w:eastAsia="zh-CN" w:bidi="ar"/>
        </w:rPr>
        <w:t>合格</w:t>
      </w:r>
      <w:r>
        <w:rPr>
          <w:rFonts w:hint="eastAsia" w:ascii="宋体" w:hAnsi="宋体" w:eastAsia="宋体" w:cs="宋体"/>
          <w:sz w:val="21"/>
          <w:szCs w:val="21"/>
          <w:lang w:bidi="ar"/>
        </w:rPr>
        <w:t>后自动转为项目质保金，质保期内无出现质量问题且</w:t>
      </w:r>
      <w:r>
        <w:rPr>
          <w:rFonts w:hint="eastAsia" w:ascii="宋体" w:hAnsi="宋体" w:eastAsia="宋体" w:cs="宋体"/>
          <w:sz w:val="21"/>
          <w:szCs w:val="21"/>
          <w:lang w:val="en-US" w:eastAsia="zh-CN" w:bidi="ar"/>
        </w:rPr>
        <w:t>2</w:t>
      </w:r>
      <w:r>
        <w:rPr>
          <w:rFonts w:hint="eastAsia" w:ascii="宋体" w:hAnsi="宋体" w:eastAsia="宋体" w:cs="宋体"/>
          <w:sz w:val="21"/>
          <w:szCs w:val="21"/>
          <w:lang w:bidi="ar"/>
        </w:rPr>
        <w:t>年质保期满由供应商提出，采购人收到申请后30日内将质保金一次性无息退回供应商。成交人拒绝按此要求提供履约保证金的，采购人有权取消其成交资格。</w:t>
      </w:r>
    </w:p>
    <w:p w14:paraId="05B407FF">
      <w:pPr>
        <w:keepNext w:val="0"/>
        <w:keepLines w:val="0"/>
        <w:pageBreakBefore w:val="0"/>
        <w:widowControl w:val="0"/>
        <w:numPr>
          <w:ilvl w:val="-1"/>
          <w:numId w:val="0"/>
        </w:numPr>
        <w:kinsoku/>
        <w:wordWrap/>
        <w:overflowPunct/>
        <w:topLinePunct w:val="0"/>
        <w:autoSpaceDE/>
        <w:autoSpaceDN/>
        <w:bidi w:val="0"/>
        <w:spacing w:line="360" w:lineRule="auto"/>
        <w:ind w:left="0" w:firstLine="420" w:firstLineChars="200"/>
        <w:textAlignment w:val="auto"/>
        <w:rPr>
          <w:rFonts w:hint="eastAsia" w:ascii="宋体" w:hAnsi="宋体" w:eastAsia="宋体" w:cs="宋体"/>
          <w:sz w:val="21"/>
          <w:szCs w:val="21"/>
          <w:lang w:bidi="ar"/>
        </w:rPr>
      </w:pPr>
      <w:r>
        <w:rPr>
          <w:rFonts w:hint="eastAsia" w:ascii="宋体" w:hAnsi="宋体" w:eastAsia="宋体" w:cs="宋体"/>
          <w:sz w:val="21"/>
          <w:szCs w:val="21"/>
          <w:lang w:bidi="ar"/>
        </w:rPr>
        <w:t>履约保证金以对公银行转账等非现金形式提交：</w:t>
      </w:r>
    </w:p>
    <w:p w14:paraId="5A69F273">
      <w:pPr>
        <w:keepNext w:val="0"/>
        <w:keepLines w:val="0"/>
        <w:pageBreakBefore w:val="0"/>
        <w:widowControl w:val="0"/>
        <w:tabs>
          <w:tab w:val="left" w:pos="630"/>
        </w:tabs>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bidi="ar"/>
        </w:rPr>
        <w:t>（采购人）账户名称：广东省广裕集团阳春实业有限公司</w:t>
      </w:r>
    </w:p>
    <w:p w14:paraId="3C0CEA29">
      <w:pPr>
        <w:keepNext w:val="0"/>
        <w:keepLines w:val="0"/>
        <w:pageBreakBefore w:val="0"/>
        <w:widowControl w:val="0"/>
        <w:tabs>
          <w:tab w:val="left" w:pos="630"/>
        </w:tabs>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bidi="ar"/>
        </w:rPr>
        <w:t>开户行：中国农业银行春湾支行</w:t>
      </w:r>
    </w:p>
    <w:p w14:paraId="2EC84125">
      <w:pPr>
        <w:keepNext w:val="0"/>
        <w:keepLines w:val="0"/>
        <w:pageBreakBefore w:val="0"/>
        <w:widowControl w:val="0"/>
        <w:tabs>
          <w:tab w:val="left" w:pos="630"/>
        </w:tabs>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bidi="ar"/>
        </w:rPr>
        <w:t>开户行账号：554601040000338</w:t>
      </w:r>
    </w:p>
    <w:p w14:paraId="6B45AB3C">
      <w:pPr>
        <w:keepNext w:val="0"/>
        <w:keepLines w:val="0"/>
        <w:pageBreakBefore w:val="0"/>
        <w:widowControl w:val="0"/>
        <w:numPr>
          <w:ilvl w:val="0"/>
          <w:numId w:val="19"/>
        </w:numPr>
        <w:kinsoku/>
        <w:wordWrap/>
        <w:overflowPunct/>
        <w:topLinePunct w:val="0"/>
        <w:autoSpaceDE/>
        <w:autoSpaceDN/>
        <w:bidi w:val="0"/>
        <w:snapToGrid w:val="0"/>
        <w:spacing w:line="360" w:lineRule="auto"/>
        <w:jc w:val="left"/>
        <w:textAlignment w:val="auto"/>
        <w:rPr>
          <w:rFonts w:hint="eastAsia" w:ascii="宋体" w:hAnsi="宋体" w:eastAsia="宋体" w:cs="宋体"/>
          <w:color w:val="000000"/>
          <w:kern w:val="44"/>
          <w:sz w:val="21"/>
          <w:szCs w:val="21"/>
        </w:rPr>
      </w:pPr>
      <w:r>
        <w:rPr>
          <w:rFonts w:hint="eastAsia" w:ascii="宋体" w:hAnsi="宋体" w:eastAsia="宋体" w:cs="宋体"/>
          <w:color w:val="000000"/>
          <w:kern w:val="44"/>
          <w:sz w:val="21"/>
          <w:szCs w:val="21"/>
          <w:lang w:bidi="ar"/>
        </w:rPr>
        <w:t>发生以下情形，经调查属实的，扣除20%履约保证金：</w:t>
      </w:r>
    </w:p>
    <w:p w14:paraId="4289636B">
      <w:pPr>
        <w:keepNext w:val="0"/>
        <w:keepLines w:val="0"/>
        <w:pageBreakBefore w:val="0"/>
        <w:widowControl w:val="0"/>
        <w:numPr>
          <w:ilvl w:val="0"/>
          <w:numId w:val="20"/>
        </w:numPr>
        <w:tabs>
          <w:tab w:val="left" w:pos="420"/>
        </w:tabs>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bidi="ar"/>
        </w:rPr>
        <w:t>未按要求提供相关票证；</w:t>
      </w:r>
    </w:p>
    <w:p w14:paraId="33CC6CEC">
      <w:pPr>
        <w:keepNext w:val="0"/>
        <w:keepLines w:val="0"/>
        <w:pageBreakBefore w:val="0"/>
        <w:widowControl w:val="0"/>
        <w:numPr>
          <w:ilvl w:val="0"/>
          <w:numId w:val="20"/>
        </w:numPr>
        <w:tabs>
          <w:tab w:val="left" w:pos="420"/>
        </w:tabs>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bidi="ar"/>
        </w:rPr>
        <w:t>质量验收不合格；</w:t>
      </w:r>
    </w:p>
    <w:p w14:paraId="52582E3E">
      <w:pPr>
        <w:keepNext w:val="0"/>
        <w:keepLines w:val="0"/>
        <w:pageBreakBefore w:val="0"/>
        <w:widowControl w:val="0"/>
        <w:numPr>
          <w:ilvl w:val="0"/>
          <w:numId w:val="20"/>
        </w:numPr>
        <w:tabs>
          <w:tab w:val="left" w:pos="420"/>
        </w:tabs>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bidi="ar"/>
        </w:rPr>
        <w:t>未按采购人指定秩序卸货；</w:t>
      </w:r>
    </w:p>
    <w:p w14:paraId="44BB61BF">
      <w:pPr>
        <w:keepNext w:val="0"/>
        <w:keepLines w:val="0"/>
        <w:pageBreakBefore w:val="0"/>
        <w:widowControl w:val="0"/>
        <w:numPr>
          <w:ilvl w:val="0"/>
          <w:numId w:val="20"/>
        </w:numPr>
        <w:tabs>
          <w:tab w:val="left" w:pos="420"/>
        </w:tabs>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bidi="ar"/>
        </w:rPr>
        <w:t>出现质量问题，成交人不积极配合查找原因，不及时反馈处理结果；</w:t>
      </w:r>
    </w:p>
    <w:p w14:paraId="7A04FCF8">
      <w:pPr>
        <w:keepNext w:val="0"/>
        <w:keepLines w:val="0"/>
        <w:pageBreakBefore w:val="0"/>
        <w:widowControl w:val="0"/>
        <w:numPr>
          <w:ilvl w:val="0"/>
          <w:numId w:val="20"/>
        </w:numPr>
        <w:tabs>
          <w:tab w:val="left" w:pos="420"/>
        </w:tabs>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bidi="ar"/>
        </w:rPr>
        <w:t>工作人员不遵守采购人各项管理规定；</w:t>
      </w:r>
    </w:p>
    <w:p w14:paraId="652F03A6">
      <w:pPr>
        <w:keepNext w:val="0"/>
        <w:keepLines w:val="0"/>
        <w:pageBreakBefore w:val="0"/>
        <w:widowControl w:val="0"/>
        <w:numPr>
          <w:ilvl w:val="0"/>
          <w:numId w:val="19"/>
        </w:numPr>
        <w:kinsoku/>
        <w:wordWrap/>
        <w:overflowPunct/>
        <w:topLinePunct w:val="0"/>
        <w:autoSpaceDE/>
        <w:autoSpaceDN/>
        <w:bidi w:val="0"/>
        <w:snapToGrid w:val="0"/>
        <w:spacing w:line="360" w:lineRule="auto"/>
        <w:jc w:val="left"/>
        <w:textAlignment w:val="auto"/>
        <w:rPr>
          <w:rFonts w:hint="eastAsia" w:ascii="宋体" w:hAnsi="宋体" w:eastAsia="宋体" w:cs="宋体"/>
          <w:color w:val="000000"/>
          <w:kern w:val="44"/>
          <w:sz w:val="21"/>
          <w:szCs w:val="21"/>
        </w:rPr>
      </w:pPr>
      <w:r>
        <w:rPr>
          <w:rFonts w:hint="eastAsia" w:ascii="宋体" w:hAnsi="宋体" w:eastAsia="宋体" w:cs="宋体"/>
          <w:color w:val="000000"/>
          <w:kern w:val="44"/>
          <w:sz w:val="21"/>
          <w:szCs w:val="21"/>
          <w:lang w:bidi="ar"/>
        </w:rPr>
        <w:t>发生以下情形，经调查属实的，扣除50%履约保证金：</w:t>
      </w:r>
    </w:p>
    <w:p w14:paraId="21454E90">
      <w:pPr>
        <w:keepNext w:val="0"/>
        <w:keepLines w:val="0"/>
        <w:pageBreakBefore w:val="0"/>
        <w:widowControl w:val="0"/>
        <w:numPr>
          <w:ilvl w:val="0"/>
          <w:numId w:val="21"/>
        </w:numPr>
        <w:tabs>
          <w:tab w:val="left" w:pos="420"/>
        </w:tabs>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bidi="ar"/>
        </w:rPr>
        <w:t>供应货物规格或质量等级与合同不符；</w:t>
      </w:r>
    </w:p>
    <w:p w14:paraId="5CF3F310">
      <w:pPr>
        <w:keepNext w:val="0"/>
        <w:keepLines w:val="0"/>
        <w:pageBreakBefore w:val="0"/>
        <w:widowControl w:val="0"/>
        <w:numPr>
          <w:ilvl w:val="0"/>
          <w:numId w:val="21"/>
        </w:numPr>
        <w:tabs>
          <w:tab w:val="left" w:pos="420"/>
        </w:tabs>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bidi="ar"/>
        </w:rPr>
        <w:t>提供虚假检验报告等相关票证；</w:t>
      </w:r>
    </w:p>
    <w:p w14:paraId="38E11561">
      <w:pPr>
        <w:keepNext w:val="0"/>
        <w:keepLines w:val="0"/>
        <w:pageBreakBefore w:val="0"/>
        <w:widowControl w:val="0"/>
        <w:numPr>
          <w:ilvl w:val="0"/>
          <w:numId w:val="21"/>
        </w:numPr>
        <w:tabs>
          <w:tab w:val="left" w:pos="420"/>
        </w:tabs>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bidi="ar"/>
        </w:rPr>
        <w:t>同一品种货物连续两次验收发现质量不合格产品并退货；</w:t>
      </w:r>
    </w:p>
    <w:p w14:paraId="0E889B3A">
      <w:pPr>
        <w:keepNext w:val="0"/>
        <w:keepLines w:val="0"/>
        <w:pageBreakBefore w:val="0"/>
        <w:widowControl w:val="0"/>
        <w:numPr>
          <w:ilvl w:val="0"/>
          <w:numId w:val="21"/>
        </w:numPr>
        <w:tabs>
          <w:tab w:val="left" w:pos="420"/>
        </w:tabs>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bidi="ar"/>
        </w:rPr>
        <w:t>把采购人验收不合格退货的货物重新配送给采购人；</w:t>
      </w:r>
    </w:p>
    <w:p w14:paraId="0428F8CB">
      <w:pPr>
        <w:keepNext w:val="0"/>
        <w:keepLines w:val="0"/>
        <w:pageBreakBefore w:val="0"/>
        <w:widowControl w:val="0"/>
        <w:numPr>
          <w:ilvl w:val="0"/>
          <w:numId w:val="19"/>
        </w:numPr>
        <w:kinsoku/>
        <w:wordWrap/>
        <w:overflowPunct/>
        <w:topLinePunct w:val="0"/>
        <w:autoSpaceDE/>
        <w:autoSpaceDN/>
        <w:bidi w:val="0"/>
        <w:snapToGrid w:val="0"/>
        <w:spacing w:line="360" w:lineRule="auto"/>
        <w:jc w:val="left"/>
        <w:textAlignment w:val="auto"/>
        <w:rPr>
          <w:rFonts w:hint="eastAsia" w:ascii="宋体" w:hAnsi="宋体" w:eastAsia="宋体" w:cs="宋体"/>
          <w:color w:val="000000"/>
          <w:kern w:val="44"/>
          <w:sz w:val="21"/>
          <w:szCs w:val="21"/>
        </w:rPr>
      </w:pPr>
      <w:r>
        <w:rPr>
          <w:rFonts w:hint="eastAsia" w:ascii="宋体" w:hAnsi="宋体" w:eastAsia="宋体" w:cs="宋体"/>
          <w:color w:val="000000"/>
          <w:kern w:val="44"/>
          <w:sz w:val="21"/>
          <w:szCs w:val="21"/>
          <w:lang w:bidi="ar"/>
        </w:rPr>
        <w:t>本项目的履约保证金在两年质保期结束后由成交人提出退还申请，采购人于5个工作日内无息退还。</w:t>
      </w:r>
    </w:p>
    <w:p w14:paraId="7A4EBEA0">
      <w:pPr>
        <w:keepNext w:val="0"/>
        <w:keepLines w:val="0"/>
        <w:pageBreakBefore w:val="0"/>
        <w:widowControl w:val="0"/>
        <w:numPr>
          <w:ilvl w:val="0"/>
          <w:numId w:val="19"/>
        </w:numPr>
        <w:kinsoku/>
        <w:wordWrap/>
        <w:overflowPunct/>
        <w:topLinePunct w:val="0"/>
        <w:autoSpaceDE/>
        <w:autoSpaceDN/>
        <w:bidi w:val="0"/>
        <w:snapToGrid w:val="0"/>
        <w:spacing w:line="360" w:lineRule="auto"/>
        <w:jc w:val="left"/>
        <w:textAlignment w:val="auto"/>
        <w:rPr>
          <w:rFonts w:hint="eastAsia" w:ascii="宋体" w:hAnsi="宋体" w:eastAsia="宋体" w:cs="宋体"/>
          <w:color w:val="000000"/>
          <w:kern w:val="44"/>
          <w:sz w:val="21"/>
          <w:szCs w:val="21"/>
        </w:rPr>
      </w:pPr>
      <w:r>
        <w:rPr>
          <w:rFonts w:hint="eastAsia" w:ascii="宋体" w:hAnsi="宋体" w:eastAsia="宋体" w:cs="宋体"/>
          <w:color w:val="000000"/>
          <w:kern w:val="44"/>
          <w:sz w:val="21"/>
          <w:szCs w:val="21"/>
          <w:lang w:bidi="ar"/>
        </w:rPr>
        <w:t>本履约保证金，在成交人不履行应承担的义务或因过失导致采购人或第三方损失而又拒绝承担赔偿责任时，采购人有权对保证金进行处置，如保证金数额不足以赔偿采购人或第三方损失时，采购人还有权继续对成交人进行追讨。</w:t>
      </w:r>
    </w:p>
    <w:p w14:paraId="65B17A41">
      <w:pPr>
        <w:keepNext w:val="0"/>
        <w:keepLines w:val="0"/>
        <w:pageBreakBefore w:val="0"/>
        <w:widowControl w:val="0"/>
        <w:numPr>
          <w:ilvl w:val="0"/>
          <w:numId w:val="19"/>
        </w:numPr>
        <w:kinsoku/>
        <w:wordWrap/>
        <w:overflowPunct/>
        <w:topLinePunct w:val="0"/>
        <w:autoSpaceDE/>
        <w:autoSpaceDN/>
        <w:bidi w:val="0"/>
        <w:snapToGrid w:val="0"/>
        <w:spacing w:line="360" w:lineRule="auto"/>
        <w:jc w:val="left"/>
        <w:textAlignment w:val="auto"/>
        <w:rPr>
          <w:rFonts w:hint="eastAsia" w:ascii="宋体" w:hAnsi="宋体" w:eastAsia="宋体" w:cs="宋体"/>
          <w:color w:val="000000"/>
          <w:kern w:val="44"/>
          <w:sz w:val="21"/>
          <w:szCs w:val="21"/>
        </w:rPr>
      </w:pPr>
      <w:r>
        <w:rPr>
          <w:rFonts w:hint="eastAsia" w:ascii="宋体" w:hAnsi="宋体" w:eastAsia="宋体" w:cs="宋体"/>
          <w:color w:val="000000"/>
          <w:kern w:val="44"/>
          <w:sz w:val="21"/>
          <w:szCs w:val="21"/>
          <w:lang w:bidi="ar"/>
        </w:rPr>
        <w:t>如因采购人的合同约定扣减保证金，成交人须五个工作日内补足至原有金额，否则，将视为成交人毁约。</w:t>
      </w:r>
    </w:p>
    <w:p w14:paraId="33CE27F8">
      <w:pPr>
        <w:pStyle w:val="3"/>
        <w:keepNext w:val="0"/>
        <w:keepLines w:val="0"/>
        <w:pageBreakBefore w:val="0"/>
        <w:widowControl w:val="0"/>
        <w:numPr>
          <w:ilvl w:val="0"/>
          <w:numId w:val="14"/>
        </w:numPr>
        <w:kinsoku/>
        <w:wordWrap/>
        <w:overflowPunct/>
        <w:topLinePunct w:val="0"/>
        <w:autoSpaceDE/>
        <w:autoSpaceDN/>
        <w:bidi w:val="0"/>
        <w:spacing w:before="0" w:after="0"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成交人管理要求</w:t>
      </w:r>
    </w:p>
    <w:p w14:paraId="06B7CBBD">
      <w:pPr>
        <w:keepNext w:val="0"/>
        <w:keepLines w:val="0"/>
        <w:pageBreakBefore w:val="0"/>
        <w:widowControl w:val="0"/>
        <w:numPr>
          <w:ilvl w:val="0"/>
          <w:numId w:val="22"/>
        </w:numPr>
        <w:tabs>
          <w:tab w:val="left" w:pos="630"/>
        </w:tabs>
        <w:kinsoku/>
        <w:wordWrap/>
        <w:overflowPunct/>
        <w:topLinePunct w:val="0"/>
        <w:autoSpaceDE/>
        <w:autoSpaceDN/>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bidi="ar"/>
        </w:rPr>
        <w:t>成交人有以下行为，经调查属实的，采购人将立即解除相关供应合同，履约保证金不退还：</w:t>
      </w:r>
    </w:p>
    <w:p w14:paraId="64B25A79">
      <w:pPr>
        <w:keepNext w:val="0"/>
        <w:keepLines w:val="0"/>
        <w:pageBreakBefore w:val="0"/>
        <w:widowControl w:val="0"/>
        <w:numPr>
          <w:ilvl w:val="0"/>
          <w:numId w:val="23"/>
        </w:numPr>
        <w:tabs>
          <w:tab w:val="left" w:pos="851"/>
        </w:tabs>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bidi="ar"/>
        </w:rPr>
        <w:t>弄虚作假，提供虚假材料取得成交供应资格的；</w:t>
      </w:r>
    </w:p>
    <w:p w14:paraId="484EB54F">
      <w:pPr>
        <w:keepNext w:val="0"/>
        <w:keepLines w:val="0"/>
        <w:pageBreakBefore w:val="0"/>
        <w:widowControl w:val="0"/>
        <w:numPr>
          <w:ilvl w:val="0"/>
          <w:numId w:val="23"/>
        </w:numPr>
        <w:tabs>
          <w:tab w:val="left" w:pos="851"/>
        </w:tabs>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bidi="ar"/>
        </w:rPr>
        <w:t>成交供应项目有转包、分包行为的；</w:t>
      </w:r>
    </w:p>
    <w:p w14:paraId="2265799D">
      <w:pPr>
        <w:keepNext w:val="0"/>
        <w:keepLines w:val="0"/>
        <w:pageBreakBefore w:val="0"/>
        <w:widowControl w:val="0"/>
        <w:numPr>
          <w:ilvl w:val="0"/>
          <w:numId w:val="23"/>
        </w:numPr>
        <w:tabs>
          <w:tab w:val="left" w:pos="851"/>
        </w:tabs>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bidi="ar"/>
        </w:rPr>
        <w:t>经营情况发生重大变更，已经不具备承接成交供应项目能力的；</w:t>
      </w:r>
    </w:p>
    <w:p w14:paraId="15588B51">
      <w:pPr>
        <w:keepNext w:val="0"/>
        <w:keepLines w:val="0"/>
        <w:pageBreakBefore w:val="0"/>
        <w:widowControl w:val="0"/>
        <w:numPr>
          <w:ilvl w:val="0"/>
          <w:numId w:val="23"/>
        </w:numPr>
        <w:tabs>
          <w:tab w:val="left" w:pos="851"/>
        </w:tabs>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bidi="ar"/>
        </w:rPr>
        <w:t>无正当理由拒绝履行合同的；</w:t>
      </w:r>
    </w:p>
    <w:p w14:paraId="3C62F9A8">
      <w:pPr>
        <w:keepNext w:val="0"/>
        <w:keepLines w:val="0"/>
        <w:pageBreakBefore w:val="0"/>
        <w:widowControl w:val="0"/>
        <w:numPr>
          <w:ilvl w:val="0"/>
          <w:numId w:val="23"/>
        </w:numPr>
        <w:tabs>
          <w:tab w:val="left" w:pos="851"/>
        </w:tabs>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bidi="ar"/>
        </w:rPr>
        <w:t>有行贿、给回扣等不正当竞争行为的；</w:t>
      </w:r>
    </w:p>
    <w:p w14:paraId="34096FDF">
      <w:pPr>
        <w:keepNext w:val="0"/>
        <w:keepLines w:val="0"/>
        <w:pageBreakBefore w:val="0"/>
        <w:widowControl w:val="0"/>
        <w:numPr>
          <w:ilvl w:val="0"/>
          <w:numId w:val="23"/>
        </w:numPr>
        <w:tabs>
          <w:tab w:val="left" w:pos="851"/>
        </w:tabs>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bidi="ar"/>
        </w:rPr>
        <w:t>所供应货物存在如甲醛超标、刺激性气味强、设计不合理等可能存在质量安全问题、对人体有害的情形或故意以次充好，以假冒真，假冒伪劣行为的；</w:t>
      </w:r>
    </w:p>
    <w:p w14:paraId="5B119A15">
      <w:pPr>
        <w:keepNext w:val="0"/>
        <w:keepLines w:val="0"/>
        <w:pageBreakBefore w:val="0"/>
        <w:widowControl w:val="0"/>
        <w:numPr>
          <w:ilvl w:val="0"/>
          <w:numId w:val="23"/>
        </w:numPr>
        <w:tabs>
          <w:tab w:val="left" w:pos="851"/>
        </w:tabs>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bidi="ar"/>
        </w:rPr>
        <w:t>因成交人原因导致狱内发生监管安全事故的；</w:t>
      </w:r>
    </w:p>
    <w:p w14:paraId="52ECF907">
      <w:pPr>
        <w:keepNext w:val="0"/>
        <w:keepLines w:val="0"/>
        <w:pageBreakBefore w:val="0"/>
        <w:widowControl w:val="0"/>
        <w:numPr>
          <w:ilvl w:val="0"/>
          <w:numId w:val="23"/>
        </w:numPr>
        <w:tabs>
          <w:tab w:val="left" w:pos="851"/>
        </w:tabs>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bidi="ar"/>
        </w:rPr>
        <w:t>采购人第一或第二次发现成交人的工作人员为监狱服刑人员传带物品，且造成重大社会不良影响的；</w:t>
      </w:r>
    </w:p>
    <w:p w14:paraId="5EC05227">
      <w:pPr>
        <w:keepNext w:val="0"/>
        <w:keepLines w:val="0"/>
        <w:pageBreakBefore w:val="0"/>
        <w:widowControl w:val="0"/>
        <w:numPr>
          <w:ilvl w:val="0"/>
          <w:numId w:val="23"/>
        </w:numPr>
        <w:tabs>
          <w:tab w:val="left" w:pos="851"/>
        </w:tabs>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bidi="ar"/>
        </w:rPr>
        <w:t>采购人第三次发现成交人的工作人员为采购人服刑人员传带物品的。</w:t>
      </w:r>
    </w:p>
    <w:p w14:paraId="68E0EED0">
      <w:pPr>
        <w:keepNext w:val="0"/>
        <w:keepLines w:val="0"/>
        <w:pageBreakBefore w:val="0"/>
        <w:widowControl w:val="0"/>
        <w:numPr>
          <w:ilvl w:val="0"/>
          <w:numId w:val="23"/>
        </w:numPr>
        <w:tabs>
          <w:tab w:val="left" w:pos="851"/>
        </w:tabs>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bidi="ar"/>
        </w:rPr>
        <w:t>成交人签订合同后，在提供的第一次样板不符合需求，在经过与采购人沟通，纠正后，提供的第二次样板如仍无法达到验收小组验收的；</w:t>
      </w:r>
    </w:p>
    <w:p w14:paraId="1ABBE939">
      <w:pPr>
        <w:keepNext w:val="0"/>
        <w:keepLines w:val="0"/>
        <w:pageBreakBefore w:val="0"/>
        <w:widowControl w:val="0"/>
        <w:numPr>
          <w:ilvl w:val="0"/>
          <w:numId w:val="22"/>
        </w:numPr>
        <w:tabs>
          <w:tab w:val="left" w:pos="630"/>
        </w:tabs>
        <w:kinsoku/>
        <w:wordWrap/>
        <w:overflowPunct/>
        <w:topLinePunct w:val="0"/>
        <w:autoSpaceDE/>
        <w:autoSpaceDN/>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bidi="ar"/>
        </w:rPr>
        <w:t>必须依据国家有关法律法规要求建立健全各项管理制度，有明确的安全责任人，保证货物质量。因所供货物质量、运输、安装调试原因导致发生安全事故，除解除合同、扣除全部履约保证金外，成交人还需承担全部损失。</w:t>
      </w:r>
    </w:p>
    <w:p w14:paraId="21D4B418">
      <w:pPr>
        <w:keepNext w:val="0"/>
        <w:keepLines w:val="0"/>
        <w:pageBreakBefore w:val="0"/>
        <w:widowControl w:val="0"/>
        <w:numPr>
          <w:ilvl w:val="0"/>
          <w:numId w:val="22"/>
        </w:numPr>
        <w:tabs>
          <w:tab w:val="left" w:pos="630"/>
        </w:tabs>
        <w:kinsoku/>
        <w:wordWrap/>
        <w:overflowPunct/>
        <w:topLinePunct w:val="0"/>
        <w:autoSpaceDE/>
        <w:autoSpaceDN/>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bidi="ar"/>
        </w:rPr>
        <w:t>由于采购人工作的特殊性，成交人应做好本单位工作人员的教育工作，遵守监狱出入监门和物品携带等各项规定。</w:t>
      </w:r>
    </w:p>
    <w:p w14:paraId="69EBF7FE">
      <w:pPr>
        <w:keepNext w:val="0"/>
        <w:keepLines w:val="0"/>
        <w:pageBreakBefore w:val="0"/>
        <w:widowControl w:val="0"/>
        <w:numPr>
          <w:ilvl w:val="0"/>
          <w:numId w:val="22"/>
        </w:numPr>
        <w:tabs>
          <w:tab w:val="left" w:pos="630"/>
        </w:tabs>
        <w:kinsoku/>
        <w:wordWrap/>
        <w:overflowPunct/>
        <w:topLinePunct w:val="0"/>
        <w:autoSpaceDE/>
        <w:autoSpaceDN/>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bidi="ar"/>
        </w:rPr>
        <w:t>成交人应严格按竞价要求和合同约定的内容供货，成交人不得转包、分包，否则采购人有权单方面终止合同，项目另行处理，成交人承担由此造成的经济损失，履约保证金不退还。</w:t>
      </w:r>
    </w:p>
    <w:p w14:paraId="6857633C">
      <w:pPr>
        <w:keepNext w:val="0"/>
        <w:keepLines w:val="0"/>
        <w:pageBreakBefore w:val="0"/>
        <w:widowControl w:val="0"/>
        <w:numPr>
          <w:ilvl w:val="0"/>
          <w:numId w:val="22"/>
        </w:numPr>
        <w:tabs>
          <w:tab w:val="left" w:pos="630"/>
        </w:tabs>
        <w:kinsoku/>
        <w:wordWrap/>
        <w:overflowPunct/>
        <w:topLinePunct w:val="0"/>
        <w:autoSpaceDE/>
        <w:autoSpaceDN/>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bidi="ar"/>
        </w:rPr>
        <w:t>成交人须按提供货物的销售额开具增值税专用发票。</w:t>
      </w:r>
    </w:p>
    <w:p w14:paraId="5E340329">
      <w:pPr>
        <w:keepNext w:val="0"/>
        <w:keepLines w:val="0"/>
        <w:pageBreakBefore w:val="0"/>
        <w:wordWrap/>
        <w:overflowPunct/>
        <w:topLinePunct w:val="0"/>
        <w:bidi w:val="0"/>
        <w:spacing w:line="360" w:lineRule="auto"/>
        <w:rPr>
          <w:rFonts w:hint="eastAsia" w:ascii="宋体" w:hAnsi="宋体" w:eastAsia="宋体" w:cs="宋体"/>
          <w:sz w:val="21"/>
          <w:szCs w:val="21"/>
          <w:lang w:bidi="ar"/>
        </w:rPr>
      </w:pPr>
      <w:r>
        <w:rPr>
          <w:rFonts w:hint="eastAsia" w:ascii="宋体" w:hAnsi="宋体" w:eastAsia="宋体" w:cs="宋体"/>
          <w:sz w:val="21"/>
          <w:szCs w:val="21"/>
          <w:lang w:bidi="ar"/>
        </w:rPr>
        <w:br w:type="page"/>
      </w:r>
    </w:p>
    <w:p w14:paraId="34C896A1">
      <w:pPr>
        <w:pStyle w:val="23"/>
        <w:rPr>
          <w:rFonts w:ascii="宋体" w:hAnsi="宋体"/>
          <w:sz w:val="21"/>
        </w:rPr>
      </w:pPr>
      <w:r>
        <w:rPr>
          <w:rFonts w:hint="eastAsia" w:ascii="宋体" w:hAnsi="宋体"/>
        </w:rPr>
        <w:t>第三章 报价附件</w:t>
      </w:r>
    </w:p>
    <w:p w14:paraId="11FFC079">
      <w:pPr>
        <w:pStyle w:val="3"/>
        <w:spacing w:before="0" w:after="0" w:line="360" w:lineRule="auto"/>
        <w:jc w:val="center"/>
        <w:rPr>
          <w:rFonts w:ascii="宋体" w:hAnsi="宋体"/>
          <w:lang w:val="zh-CN"/>
        </w:rPr>
      </w:pPr>
      <w:r>
        <w:rPr>
          <w:rFonts w:hint="eastAsia" w:ascii="宋体" w:hAnsi="宋体"/>
          <w:lang w:val="zh-CN"/>
        </w:rPr>
        <w:t>报价表</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78"/>
        <w:gridCol w:w="1397"/>
        <w:gridCol w:w="2405"/>
        <w:gridCol w:w="1245"/>
      </w:tblGrid>
      <w:tr w14:paraId="0969F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39" w:type="pct"/>
            <w:vAlign w:val="center"/>
          </w:tcPr>
          <w:p w14:paraId="4CF02887">
            <w:pPr>
              <w:keepNext/>
              <w:keepLines/>
              <w:spacing w:line="360" w:lineRule="auto"/>
              <w:jc w:val="center"/>
              <w:outlineLvl w:val="1"/>
              <w:rPr>
                <w:rFonts w:ascii="宋体" w:hAnsi="宋体" w:cs="宋体"/>
                <w:b/>
                <w:bCs/>
                <w:color w:val="000000"/>
                <w:szCs w:val="21"/>
              </w:rPr>
            </w:pPr>
            <w:r>
              <w:rPr>
                <w:rFonts w:hint="eastAsia" w:ascii="宋体" w:hAnsi="宋体" w:cs="宋体"/>
                <w:b/>
                <w:bCs/>
                <w:color w:val="000000"/>
                <w:szCs w:val="21"/>
              </w:rPr>
              <w:t>项目名称</w:t>
            </w:r>
          </w:p>
        </w:tc>
        <w:tc>
          <w:tcPr>
            <w:tcW w:w="819" w:type="pct"/>
            <w:vAlign w:val="center"/>
          </w:tcPr>
          <w:p w14:paraId="43BBFBEA">
            <w:pPr>
              <w:keepNext/>
              <w:keepLines/>
              <w:spacing w:line="360" w:lineRule="auto"/>
              <w:jc w:val="center"/>
              <w:outlineLvl w:val="1"/>
              <w:rPr>
                <w:rFonts w:ascii="宋体" w:hAnsi="宋体" w:cs="宋体"/>
                <w:b/>
                <w:bCs/>
                <w:color w:val="000000"/>
                <w:szCs w:val="21"/>
              </w:rPr>
            </w:pPr>
            <w:r>
              <w:rPr>
                <w:rFonts w:hint="eastAsia" w:ascii="宋体" w:hAnsi="宋体" w:cs="宋体"/>
                <w:b/>
                <w:bCs/>
                <w:color w:val="000000"/>
                <w:szCs w:val="21"/>
              </w:rPr>
              <w:t>数量</w:t>
            </w:r>
          </w:p>
        </w:tc>
        <w:tc>
          <w:tcPr>
            <w:tcW w:w="1410" w:type="pct"/>
            <w:vAlign w:val="center"/>
          </w:tcPr>
          <w:p w14:paraId="71684DBE">
            <w:pPr>
              <w:keepNext/>
              <w:keepLines/>
              <w:spacing w:line="360" w:lineRule="auto"/>
              <w:jc w:val="center"/>
              <w:outlineLvl w:val="1"/>
              <w:rPr>
                <w:rFonts w:ascii="宋体" w:hAnsi="宋体" w:cs="宋体"/>
                <w:b/>
                <w:bCs/>
                <w:color w:val="000000"/>
                <w:szCs w:val="21"/>
              </w:rPr>
            </w:pPr>
            <w:r>
              <w:rPr>
                <w:rFonts w:hint="eastAsia" w:ascii="宋体" w:hAnsi="宋体"/>
                <w:b/>
                <w:spacing w:val="4"/>
                <w:szCs w:val="21"/>
                <w:lang w:bidi="ar"/>
              </w:rPr>
              <w:t>下浮率报价（%）</w:t>
            </w:r>
          </w:p>
        </w:tc>
        <w:tc>
          <w:tcPr>
            <w:tcW w:w="730" w:type="pct"/>
            <w:vAlign w:val="center"/>
          </w:tcPr>
          <w:p w14:paraId="17644653">
            <w:pPr>
              <w:keepNext/>
              <w:keepLines/>
              <w:spacing w:line="360" w:lineRule="auto"/>
              <w:jc w:val="center"/>
              <w:outlineLvl w:val="1"/>
              <w:rPr>
                <w:rFonts w:ascii="宋体" w:hAnsi="宋体" w:cs="宋体"/>
                <w:b/>
                <w:bCs/>
                <w:color w:val="000000"/>
                <w:szCs w:val="21"/>
              </w:rPr>
            </w:pPr>
            <w:r>
              <w:rPr>
                <w:rFonts w:hint="eastAsia" w:ascii="宋体" w:hAnsi="宋体" w:cs="宋体"/>
                <w:b/>
                <w:bCs/>
                <w:color w:val="000000"/>
                <w:szCs w:val="21"/>
              </w:rPr>
              <w:t>备注</w:t>
            </w:r>
          </w:p>
        </w:tc>
      </w:tr>
      <w:tr w14:paraId="48306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39" w:type="pct"/>
            <w:vAlign w:val="center"/>
          </w:tcPr>
          <w:p w14:paraId="441523F0">
            <w:pPr>
              <w:keepNext/>
              <w:keepLines/>
              <w:spacing w:line="360" w:lineRule="auto"/>
              <w:jc w:val="center"/>
              <w:outlineLvl w:val="1"/>
              <w:rPr>
                <w:rFonts w:ascii="宋体" w:hAnsi="宋体" w:cs="宋体"/>
                <w:color w:val="000000"/>
                <w:szCs w:val="21"/>
              </w:rPr>
            </w:pPr>
            <w:r>
              <w:rPr>
                <w:rFonts w:hint="eastAsia" w:ascii="宋体" w:hAnsi="宋体"/>
                <w:szCs w:val="21"/>
              </w:rPr>
              <w:t>广裕集团实训中心（阳春）及阳春实业有限公司办公家具采购项目</w:t>
            </w:r>
          </w:p>
        </w:tc>
        <w:tc>
          <w:tcPr>
            <w:tcW w:w="819" w:type="pct"/>
            <w:vAlign w:val="center"/>
          </w:tcPr>
          <w:p w14:paraId="048BDCBC">
            <w:pPr>
              <w:keepNext/>
              <w:keepLines/>
              <w:spacing w:line="360" w:lineRule="auto"/>
              <w:jc w:val="center"/>
              <w:outlineLvl w:val="1"/>
              <w:rPr>
                <w:rFonts w:ascii="宋体" w:hAnsi="宋体" w:cs="宋体"/>
                <w:color w:val="000000"/>
                <w:szCs w:val="21"/>
              </w:rPr>
            </w:pPr>
            <w:r>
              <w:rPr>
                <w:rFonts w:hint="eastAsia" w:ascii="宋体" w:hAnsi="宋体" w:cs="宋体"/>
                <w:bCs/>
                <w:color w:val="000000"/>
                <w:szCs w:val="21"/>
              </w:rPr>
              <w:t>1批</w:t>
            </w:r>
          </w:p>
        </w:tc>
        <w:tc>
          <w:tcPr>
            <w:tcW w:w="1410" w:type="pct"/>
            <w:vAlign w:val="center"/>
          </w:tcPr>
          <w:p w14:paraId="3A5B3774">
            <w:pPr>
              <w:keepNext/>
              <w:keepLines/>
              <w:spacing w:line="360" w:lineRule="auto"/>
              <w:jc w:val="center"/>
              <w:outlineLvl w:val="1"/>
              <w:rPr>
                <w:rFonts w:ascii="宋体" w:hAnsi="宋体" w:cs="宋体"/>
                <w:b/>
                <w:bCs/>
                <w:color w:val="000000"/>
                <w:szCs w:val="21"/>
              </w:rPr>
            </w:pPr>
            <w:r>
              <w:rPr>
                <w:rFonts w:hint="eastAsia" w:ascii="宋体" w:hAnsi="宋体"/>
                <w:b/>
                <w:spacing w:val="4"/>
                <w:szCs w:val="21"/>
                <w:u w:val="single"/>
                <w:lang w:bidi="ar"/>
              </w:rPr>
              <w:t xml:space="preserve">   </w:t>
            </w:r>
            <w:r>
              <w:rPr>
                <w:rFonts w:hint="eastAsia" w:ascii="宋体" w:hAnsi="宋体"/>
                <w:b/>
                <w:spacing w:val="4"/>
                <w:szCs w:val="21"/>
                <w:lang w:bidi="ar"/>
              </w:rPr>
              <w:t>%</w:t>
            </w:r>
          </w:p>
        </w:tc>
        <w:tc>
          <w:tcPr>
            <w:tcW w:w="730" w:type="pct"/>
            <w:vAlign w:val="center"/>
          </w:tcPr>
          <w:p w14:paraId="259DC0FC">
            <w:pPr>
              <w:keepNext/>
              <w:keepLines/>
              <w:spacing w:line="360" w:lineRule="auto"/>
              <w:jc w:val="center"/>
              <w:outlineLvl w:val="1"/>
              <w:rPr>
                <w:rFonts w:ascii="宋体" w:hAnsi="宋体" w:cs="宋体"/>
                <w:b/>
                <w:bCs/>
                <w:color w:val="000000"/>
                <w:szCs w:val="21"/>
              </w:rPr>
            </w:pPr>
          </w:p>
        </w:tc>
      </w:tr>
    </w:tbl>
    <w:p w14:paraId="3A055722">
      <w:pPr>
        <w:spacing w:line="360" w:lineRule="auto"/>
        <w:rPr>
          <w:rFonts w:ascii="宋体" w:hAnsi="宋体"/>
          <w:b/>
          <w:spacing w:val="4"/>
          <w:szCs w:val="21"/>
        </w:rPr>
      </w:pPr>
      <w:r>
        <w:rPr>
          <w:rFonts w:hint="eastAsia" w:ascii="宋体" w:hAnsi="宋体"/>
          <w:b/>
          <w:spacing w:val="4"/>
          <w:szCs w:val="21"/>
        </w:rPr>
        <w:t>注：</w:t>
      </w:r>
    </w:p>
    <w:p w14:paraId="61152303">
      <w:pPr>
        <w:pStyle w:val="54"/>
        <w:numPr>
          <w:ilvl w:val="0"/>
          <w:numId w:val="24"/>
        </w:numPr>
        <w:spacing w:line="360" w:lineRule="auto"/>
        <w:ind w:firstLineChars="0"/>
        <w:rPr>
          <w:rFonts w:ascii="宋体" w:hAnsi="宋体"/>
          <w:b/>
        </w:rPr>
      </w:pPr>
      <w:r>
        <w:rPr>
          <w:rFonts w:hint="eastAsia" w:ascii="宋体" w:hAnsi="宋体"/>
          <w:b/>
        </w:rPr>
        <w:t>本项目以下浮率形式进行报价，如项目存在最高限价或单价最高限价，成交总金额（单价）=最高限价（单价最高限价）×（1-下浮率）。报价时间截止后，系统按下浮率由高到低顺序排列，下浮率最高的为第一成交候选人，报下浮率相同的，按报价时间在前的为第一成交候选人；报下浮率次高的为第二成交候选人，以此类推。（示例：如A项目采购一批饮用水，以实际供应量进行结算，该项目以下浮率形式报价，饮用水预算单价为20元/桶，某供应商报下浮率为10%，则成交单价=20元/桶*（1-10%）=18元/桶）。</w:t>
      </w:r>
    </w:p>
    <w:p w14:paraId="7737D549">
      <w:pPr>
        <w:pStyle w:val="54"/>
        <w:numPr>
          <w:ilvl w:val="0"/>
          <w:numId w:val="24"/>
        </w:numPr>
        <w:spacing w:line="360" w:lineRule="auto"/>
        <w:ind w:firstLineChars="0"/>
        <w:rPr>
          <w:rFonts w:ascii="宋体" w:hAnsi="宋体"/>
          <w:bCs/>
        </w:rPr>
      </w:pPr>
      <w:r>
        <w:rPr>
          <w:rFonts w:hint="eastAsia" w:ascii="宋体" w:hAnsi="宋体"/>
          <w:bCs/>
        </w:rPr>
        <w:t>供应商必须按报价表的格式填写，不得增加或删除表格内容。除单价、金额或项目要求填写的内容外，不得擅自改动报价表内容，否则影响成交结果，不推荐为成交候选人。</w:t>
      </w:r>
    </w:p>
    <w:p w14:paraId="63CB22DA">
      <w:pPr>
        <w:pStyle w:val="54"/>
        <w:numPr>
          <w:ilvl w:val="0"/>
          <w:numId w:val="24"/>
        </w:numPr>
        <w:spacing w:line="360" w:lineRule="auto"/>
        <w:ind w:firstLineChars="0"/>
        <w:rPr>
          <w:rFonts w:ascii="宋体" w:hAnsi="宋体"/>
          <w:b/>
          <w:bCs/>
        </w:rPr>
      </w:pPr>
      <w:r>
        <w:rPr>
          <w:rFonts w:hint="eastAsia" w:ascii="宋体" w:hAnsi="宋体"/>
          <w:b/>
          <w:bCs/>
        </w:rPr>
        <w:t>所有价格均系用人民币表示，单位为元，均为含税价。</w:t>
      </w:r>
    </w:p>
    <w:p w14:paraId="2B4C4506">
      <w:pPr>
        <w:pStyle w:val="54"/>
        <w:numPr>
          <w:ilvl w:val="0"/>
          <w:numId w:val="24"/>
        </w:numPr>
        <w:spacing w:line="360" w:lineRule="auto"/>
        <w:ind w:firstLineChars="0"/>
        <w:rPr>
          <w:rFonts w:ascii="宋体" w:hAnsi="宋体"/>
          <w:bCs/>
        </w:rPr>
      </w:pPr>
      <w:r>
        <w:rPr>
          <w:rFonts w:hint="eastAsia" w:ascii="宋体" w:hAnsi="宋体"/>
          <w:bCs/>
        </w:rPr>
        <w:t>平台上报价与报价表合计不一致的，以报价表合计（经价格核准后的价格）为准。</w:t>
      </w:r>
    </w:p>
    <w:p w14:paraId="28578866">
      <w:pPr>
        <w:widowControl/>
        <w:numPr>
          <w:ilvl w:val="0"/>
          <w:numId w:val="24"/>
        </w:numPr>
        <w:spacing w:line="360" w:lineRule="auto"/>
        <w:jc w:val="left"/>
        <w:rPr>
          <w:rFonts w:ascii="宋体" w:hAnsi="宋体" w:cs="宋体"/>
          <w:color w:val="000000"/>
          <w:kern w:val="0"/>
          <w:szCs w:val="21"/>
        </w:rPr>
      </w:pPr>
      <w:r>
        <w:rPr>
          <w:rFonts w:hint="eastAsia" w:ascii="宋体" w:hAnsi="宋体" w:cs="宋体"/>
          <w:color w:val="000000"/>
          <w:kern w:val="0"/>
          <w:szCs w:val="21"/>
        </w:rPr>
        <w:t>报价表必须加盖单位公章，否则视为无效报价。</w:t>
      </w:r>
    </w:p>
    <w:p w14:paraId="710881BE">
      <w:pPr>
        <w:widowControl/>
        <w:spacing w:line="360" w:lineRule="auto"/>
        <w:jc w:val="left"/>
        <w:rPr>
          <w:rFonts w:ascii="宋体" w:hAnsi="宋体" w:cs="宋体"/>
          <w:color w:val="000000"/>
          <w:kern w:val="0"/>
          <w:szCs w:val="21"/>
        </w:rPr>
      </w:pPr>
    </w:p>
    <w:p w14:paraId="26074B79">
      <w:pPr>
        <w:spacing w:line="360" w:lineRule="auto"/>
        <w:ind w:firstLine="420"/>
        <w:rPr>
          <w:rFonts w:ascii="宋体" w:hAnsi="宋体"/>
          <w:b w:val="0"/>
          <w:bCs w:val="0"/>
          <w:sz w:val="21"/>
          <w:szCs w:val="21"/>
          <w:u w:val="single"/>
        </w:rPr>
      </w:pPr>
      <w:r>
        <w:rPr>
          <w:rFonts w:hint="eastAsia" w:ascii="宋体" w:hAnsi="宋体"/>
          <w:b w:val="0"/>
          <w:bCs w:val="0"/>
          <w:sz w:val="21"/>
          <w:szCs w:val="21"/>
        </w:rPr>
        <w:t>供应商名称（单位盖</w:t>
      </w:r>
      <w:r>
        <w:rPr>
          <w:rFonts w:hint="eastAsia" w:ascii="宋体" w:hAnsi="宋体"/>
          <w:b w:val="0"/>
          <w:bCs w:val="0"/>
          <w:spacing w:val="4"/>
          <w:sz w:val="21"/>
          <w:szCs w:val="21"/>
        </w:rPr>
        <w:t>公章</w:t>
      </w:r>
      <w:r>
        <w:rPr>
          <w:rFonts w:hint="eastAsia" w:ascii="宋体" w:hAnsi="宋体"/>
          <w:b w:val="0"/>
          <w:bCs w:val="0"/>
          <w:sz w:val="21"/>
          <w:szCs w:val="21"/>
        </w:rPr>
        <w:t>）：</w:t>
      </w:r>
      <w:r>
        <w:rPr>
          <w:rFonts w:hint="eastAsia" w:ascii="宋体" w:hAnsi="宋体"/>
          <w:b w:val="0"/>
          <w:bCs w:val="0"/>
          <w:sz w:val="21"/>
          <w:szCs w:val="21"/>
          <w:u w:val="single"/>
        </w:rPr>
        <w:t xml:space="preserve">                          </w:t>
      </w:r>
    </w:p>
    <w:p w14:paraId="0BDD44BF">
      <w:pPr>
        <w:pStyle w:val="3"/>
        <w:spacing w:before="0" w:after="0" w:line="360" w:lineRule="auto"/>
        <w:ind w:firstLine="420" w:firstLineChars="200"/>
        <w:jc w:val="both"/>
        <w:rPr>
          <w:rFonts w:ascii="宋体" w:hAnsi="宋体"/>
          <w:b/>
          <w:bCs/>
          <w:sz w:val="32"/>
          <w:szCs w:val="32"/>
        </w:rPr>
      </w:pPr>
      <w:r>
        <w:rPr>
          <w:rFonts w:hint="eastAsia" w:ascii="宋体" w:hAnsi="宋体"/>
          <w:b w:val="0"/>
          <w:bCs w:val="0"/>
          <w:sz w:val="21"/>
          <w:szCs w:val="21"/>
        </w:rPr>
        <w:t>日期：</w:t>
      </w:r>
      <w:r>
        <w:rPr>
          <w:rFonts w:hint="eastAsia" w:ascii="宋体" w:hAnsi="宋体"/>
          <w:b w:val="0"/>
          <w:bCs w:val="0"/>
          <w:sz w:val="21"/>
          <w:szCs w:val="21"/>
          <w:u w:val="single"/>
        </w:rPr>
        <w:t xml:space="preserve">                        </w:t>
      </w:r>
      <w:r>
        <w:rPr>
          <w:rFonts w:hint="eastAsia" w:ascii="宋体" w:hAnsi="宋体"/>
          <w:u w:val="single"/>
        </w:rPr>
        <w:t xml:space="preserve">  </w:t>
      </w:r>
      <w:r>
        <w:rPr>
          <w:rFonts w:ascii="宋体" w:hAnsi="宋体"/>
          <w:b/>
          <w:bCs/>
          <w:sz w:val="32"/>
          <w:szCs w:val="32"/>
        </w:rPr>
        <w:t xml:space="preserve"> </w:t>
      </w:r>
    </w:p>
    <w:p w14:paraId="11ADFD8C">
      <w:pPr>
        <w:rPr>
          <w:rFonts w:ascii="宋体" w:hAnsi="宋体"/>
          <w:b/>
          <w:bCs/>
          <w:sz w:val="32"/>
          <w:szCs w:val="32"/>
        </w:rPr>
      </w:pPr>
      <w:r>
        <w:rPr>
          <w:rFonts w:ascii="宋体" w:hAnsi="宋体"/>
          <w:b/>
          <w:bCs/>
          <w:sz w:val="32"/>
          <w:szCs w:val="32"/>
        </w:rPr>
        <w:br w:type="page"/>
      </w:r>
    </w:p>
    <w:p w14:paraId="3BC19663">
      <w:pPr>
        <w:pStyle w:val="3"/>
        <w:spacing w:before="0" w:after="0" w:line="360" w:lineRule="auto"/>
        <w:jc w:val="center"/>
        <w:rPr>
          <w:rFonts w:ascii="宋体" w:hAnsi="宋体"/>
        </w:rPr>
      </w:pPr>
      <w:r>
        <w:rPr>
          <w:rFonts w:hint="eastAsia" w:ascii="宋体" w:hAnsi="宋体"/>
        </w:rPr>
        <w:t>供应商资格声明函</w:t>
      </w:r>
    </w:p>
    <w:p w14:paraId="606EE553">
      <w:pPr>
        <w:spacing w:line="360" w:lineRule="auto"/>
        <w:ind w:firstLine="422" w:firstLineChars="200"/>
        <w:rPr>
          <w:rFonts w:hint="eastAsia" w:ascii="宋体" w:hAnsi="宋体" w:eastAsia="宋体"/>
          <w:szCs w:val="21"/>
          <w:lang w:eastAsia="zh-CN"/>
        </w:rPr>
      </w:pPr>
      <w:r>
        <w:rPr>
          <w:rFonts w:hint="eastAsia" w:ascii="宋体" w:hAnsi="宋体"/>
          <w:b/>
          <w:szCs w:val="21"/>
        </w:rPr>
        <w:t>项目名称：</w:t>
      </w:r>
      <w:r>
        <w:rPr>
          <w:rFonts w:hint="eastAsia" w:ascii="宋体" w:hAnsi="宋体"/>
          <w:szCs w:val="21"/>
          <w:lang w:eastAsia="zh-CN"/>
        </w:rPr>
        <w:t>广裕阳春定制类及实训中心会议讨论室办公家具采购项目</w:t>
      </w:r>
    </w:p>
    <w:p w14:paraId="6A003124">
      <w:pPr>
        <w:spacing w:line="360" w:lineRule="auto"/>
        <w:ind w:firstLine="422" w:firstLineChars="200"/>
        <w:rPr>
          <w:rFonts w:ascii="宋体" w:hAnsi="宋体"/>
          <w:szCs w:val="21"/>
        </w:rPr>
      </w:pPr>
      <w:r>
        <w:rPr>
          <w:rFonts w:hint="eastAsia" w:ascii="宋体" w:hAnsi="宋体"/>
          <w:b/>
          <w:szCs w:val="21"/>
        </w:rPr>
        <w:t>致：</w:t>
      </w:r>
      <w:r>
        <w:rPr>
          <w:rFonts w:hint="eastAsia" w:ascii="宋体" w:hAnsi="宋体"/>
          <w:b/>
          <w:bCs/>
          <w:szCs w:val="21"/>
          <w:lang w:eastAsia="zh-CN"/>
        </w:rPr>
        <w:t>广东省广裕集团阳春实业有限公司</w:t>
      </w:r>
      <w:r>
        <w:rPr>
          <w:rFonts w:hint="eastAsia" w:ascii="宋体" w:hAnsi="宋体"/>
          <w:b/>
          <w:szCs w:val="21"/>
        </w:rPr>
        <w:t>、</w:t>
      </w:r>
      <w:r>
        <w:rPr>
          <w:rFonts w:ascii="宋体" w:hAnsi="宋体"/>
          <w:b/>
          <w:szCs w:val="21"/>
        </w:rPr>
        <w:t>云采链（广州）信息科技有限公司</w:t>
      </w:r>
    </w:p>
    <w:p w14:paraId="524CD2D6">
      <w:pPr>
        <w:snapToGrid w:val="0"/>
        <w:spacing w:line="360" w:lineRule="auto"/>
        <w:ind w:firstLine="420" w:firstLineChars="200"/>
        <w:rPr>
          <w:rFonts w:ascii="宋体" w:hAnsi="宋体"/>
          <w:szCs w:val="21"/>
        </w:rPr>
      </w:pPr>
    </w:p>
    <w:p w14:paraId="032961A3">
      <w:pPr>
        <w:snapToGrid w:val="0"/>
        <w:spacing w:line="360" w:lineRule="auto"/>
        <w:ind w:firstLine="420" w:firstLineChars="200"/>
        <w:rPr>
          <w:rFonts w:ascii="宋体" w:hAnsi="宋体"/>
        </w:rPr>
      </w:pPr>
      <w:r>
        <w:rPr>
          <w:rFonts w:hint="eastAsia" w:ascii="宋体" w:hAnsi="宋体"/>
          <w:szCs w:val="21"/>
        </w:rPr>
        <w:t>关于贵单位、贵司</w:t>
      </w:r>
      <w:r>
        <w:rPr>
          <w:rFonts w:hint="eastAsia" w:ascii="宋体" w:hAnsi="宋体"/>
        </w:rPr>
        <w:t>发布</w:t>
      </w:r>
      <w:r>
        <w:rPr>
          <w:rFonts w:hint="eastAsia" w:ascii="宋体" w:hAnsi="宋体"/>
          <w:b/>
          <w:szCs w:val="21"/>
          <w:u w:val="single"/>
          <w:lang w:eastAsia="zh-CN"/>
        </w:rPr>
        <w:t>广裕阳春定制类及实训中心会议讨论室办公家具采购项目</w:t>
      </w:r>
      <w:r>
        <w:rPr>
          <w:rFonts w:hint="eastAsia" w:ascii="宋体" w:hAnsi="宋体"/>
        </w:rPr>
        <w:t>的零散采购公告，本公司（企业）愿意参加采购活动，并声明：</w:t>
      </w:r>
    </w:p>
    <w:p w14:paraId="7A844C5D">
      <w:pPr>
        <w:snapToGrid w:val="0"/>
        <w:spacing w:line="360" w:lineRule="auto"/>
        <w:ind w:firstLine="420" w:firstLineChars="200"/>
        <w:rPr>
          <w:rFonts w:ascii="宋体" w:hAnsi="宋体" w:cs="宋体"/>
          <w:bCs/>
          <w:szCs w:val="20"/>
        </w:rPr>
      </w:pPr>
      <w:r>
        <w:rPr>
          <w:rFonts w:hint="eastAsia" w:ascii="宋体" w:hAnsi="宋体" w:cs="宋体"/>
          <w:lang w:bidi="ar"/>
        </w:rPr>
        <w:t>一、本公司（企业）</w:t>
      </w:r>
      <w:r>
        <w:rPr>
          <w:rFonts w:hint="eastAsia" w:ascii="宋体" w:hAnsi="宋体" w:cs="宋体"/>
          <w:bCs/>
          <w:szCs w:val="20"/>
          <w:lang w:bidi="ar"/>
        </w:rPr>
        <w:t>具备以下条件：</w:t>
      </w:r>
    </w:p>
    <w:p w14:paraId="56456893">
      <w:pPr>
        <w:widowControl/>
        <w:spacing w:line="360" w:lineRule="auto"/>
        <w:ind w:firstLine="420" w:firstLineChars="200"/>
        <w:rPr>
          <w:rFonts w:ascii="宋体" w:hAnsi="宋体" w:cs="宋体"/>
          <w:kern w:val="0"/>
          <w:szCs w:val="21"/>
        </w:rPr>
      </w:pPr>
      <w:r>
        <w:rPr>
          <w:rFonts w:hint="eastAsia" w:ascii="宋体" w:hAnsi="宋体" w:cs="宋体"/>
          <w:kern w:val="0"/>
          <w:szCs w:val="21"/>
          <w:lang w:bidi="ar"/>
        </w:rPr>
        <w:t>（一）具有独立承担民事责任的能力；</w:t>
      </w:r>
    </w:p>
    <w:p w14:paraId="457209D3">
      <w:pPr>
        <w:widowControl/>
        <w:spacing w:line="360" w:lineRule="auto"/>
        <w:ind w:firstLine="420" w:firstLineChars="200"/>
        <w:rPr>
          <w:rFonts w:ascii="宋体" w:hAnsi="宋体" w:cs="宋体"/>
          <w:kern w:val="0"/>
          <w:szCs w:val="21"/>
        </w:rPr>
      </w:pPr>
      <w:r>
        <w:rPr>
          <w:rFonts w:hint="eastAsia" w:ascii="宋体" w:hAnsi="宋体" w:cs="宋体"/>
          <w:kern w:val="0"/>
          <w:szCs w:val="21"/>
          <w:lang w:bidi="ar"/>
        </w:rPr>
        <w:t xml:space="preserve">（二）具有良好的商业信誉和健全的财务会计制度（自然人须拥有良好的财务状况）； </w:t>
      </w:r>
    </w:p>
    <w:p w14:paraId="1205340E">
      <w:pPr>
        <w:widowControl/>
        <w:spacing w:line="360" w:lineRule="auto"/>
        <w:ind w:firstLine="420" w:firstLineChars="200"/>
        <w:rPr>
          <w:rFonts w:ascii="宋体" w:hAnsi="宋体" w:cs="宋体"/>
          <w:kern w:val="0"/>
          <w:szCs w:val="21"/>
        </w:rPr>
      </w:pPr>
      <w:r>
        <w:rPr>
          <w:rFonts w:hint="eastAsia" w:ascii="宋体" w:hAnsi="宋体" w:cs="宋体"/>
          <w:kern w:val="0"/>
          <w:szCs w:val="21"/>
          <w:lang w:bidi="ar"/>
        </w:rPr>
        <w:t>（三）具有履行合同所必需的设备和专业技术能力；</w:t>
      </w:r>
    </w:p>
    <w:p w14:paraId="3604607C">
      <w:pPr>
        <w:widowControl/>
        <w:spacing w:line="360" w:lineRule="auto"/>
        <w:ind w:firstLine="420" w:firstLineChars="200"/>
        <w:rPr>
          <w:rFonts w:ascii="宋体" w:hAnsi="宋体" w:cs="宋体"/>
          <w:kern w:val="0"/>
          <w:szCs w:val="21"/>
        </w:rPr>
      </w:pPr>
      <w:r>
        <w:rPr>
          <w:rFonts w:hint="eastAsia" w:ascii="宋体" w:hAnsi="宋体" w:cs="宋体"/>
          <w:kern w:val="0"/>
          <w:szCs w:val="21"/>
          <w:lang w:bidi="ar"/>
        </w:rPr>
        <w:t>（四）有依法缴纳税收的良好记录；</w:t>
      </w:r>
    </w:p>
    <w:p w14:paraId="6ECC3656">
      <w:pPr>
        <w:widowControl/>
        <w:spacing w:line="360" w:lineRule="auto"/>
        <w:ind w:firstLine="420" w:firstLineChars="200"/>
        <w:rPr>
          <w:rFonts w:ascii="宋体" w:hAnsi="宋体" w:cs="宋体"/>
          <w:kern w:val="0"/>
          <w:szCs w:val="21"/>
        </w:rPr>
      </w:pPr>
      <w:r>
        <w:rPr>
          <w:rFonts w:hint="eastAsia" w:ascii="宋体" w:hAnsi="宋体" w:cs="宋体"/>
          <w:kern w:val="0"/>
          <w:szCs w:val="21"/>
          <w:lang w:bidi="ar"/>
        </w:rPr>
        <w:t>（五）参加政府采购活动前三年内，在经营活动中没有重大违法记录；</w:t>
      </w:r>
    </w:p>
    <w:p w14:paraId="77616F3C">
      <w:pPr>
        <w:widowControl/>
        <w:spacing w:line="360" w:lineRule="auto"/>
        <w:ind w:firstLine="420" w:firstLineChars="200"/>
        <w:rPr>
          <w:rFonts w:ascii="宋体" w:hAnsi="宋体" w:cs="宋体"/>
          <w:kern w:val="0"/>
          <w:szCs w:val="21"/>
        </w:rPr>
      </w:pPr>
      <w:r>
        <w:rPr>
          <w:rFonts w:hint="eastAsia" w:ascii="宋体" w:hAnsi="宋体" w:cs="宋体"/>
          <w:kern w:val="0"/>
          <w:szCs w:val="21"/>
          <w:lang w:bidi="ar"/>
        </w:rPr>
        <w:t>（六）法律、行政法规规定的其他条件。</w:t>
      </w:r>
    </w:p>
    <w:p w14:paraId="541818E4">
      <w:pPr>
        <w:snapToGrid w:val="0"/>
        <w:spacing w:line="360" w:lineRule="auto"/>
        <w:ind w:firstLine="420" w:firstLineChars="200"/>
        <w:rPr>
          <w:rFonts w:ascii="宋体" w:hAnsi="宋体" w:cs="宋体"/>
        </w:rPr>
      </w:pPr>
      <w:r>
        <w:rPr>
          <w:rFonts w:hint="eastAsia" w:ascii="宋体" w:hAnsi="宋体" w:cs="宋体"/>
          <w:lang w:bidi="ar"/>
        </w:rPr>
        <w:t>二、本公司（企业）具有本次采购项目服务能力，拥有对公账号。</w:t>
      </w:r>
    </w:p>
    <w:p w14:paraId="5CD35263">
      <w:pPr>
        <w:snapToGrid w:val="0"/>
        <w:spacing w:line="360" w:lineRule="auto"/>
        <w:ind w:firstLine="420" w:firstLineChars="200"/>
        <w:rPr>
          <w:rFonts w:ascii="宋体" w:hAnsi="宋体" w:cs="宋体"/>
        </w:rPr>
      </w:pPr>
      <w:r>
        <w:rPr>
          <w:rFonts w:hint="eastAsia" w:ascii="宋体" w:hAnsi="宋体" w:cs="宋体"/>
          <w:lang w:bidi="ar"/>
        </w:rPr>
        <w:t>三、本公司（企业）有固定的经营场所，信誉良好、售后维护服务好，并且在经营活动中无严重违法记录。</w:t>
      </w:r>
    </w:p>
    <w:p w14:paraId="13607C9B">
      <w:pPr>
        <w:snapToGrid w:val="0"/>
        <w:spacing w:line="360" w:lineRule="auto"/>
        <w:ind w:firstLine="420" w:firstLineChars="200"/>
        <w:rPr>
          <w:rFonts w:ascii="宋体" w:hAnsi="宋体" w:cs="宋体"/>
        </w:rPr>
      </w:pPr>
      <w:r>
        <w:rPr>
          <w:rFonts w:hint="eastAsia" w:ascii="宋体" w:hAnsi="宋体" w:cs="宋体"/>
          <w:lang w:bidi="ar"/>
        </w:rPr>
        <w:t>四、本公司（企业）在本项目中不转包分包且不联合参与</w:t>
      </w:r>
      <w:r>
        <w:rPr>
          <w:rFonts w:hint="eastAsia" w:ascii="宋体" w:hAnsi="宋体"/>
        </w:rPr>
        <w:t>零散采购</w:t>
      </w:r>
      <w:r>
        <w:rPr>
          <w:rFonts w:hint="eastAsia" w:ascii="宋体" w:hAnsi="宋体" w:cs="宋体"/>
          <w:lang w:bidi="ar"/>
        </w:rPr>
        <w:t>。</w:t>
      </w:r>
    </w:p>
    <w:p w14:paraId="78F3FDF6">
      <w:pPr>
        <w:pStyle w:val="22"/>
        <w:widowControl w:val="0"/>
        <w:spacing w:before="0" w:beforeAutospacing="0" w:after="0" w:afterAutospacing="0" w:line="360" w:lineRule="auto"/>
        <w:ind w:firstLine="420" w:firstLineChars="200"/>
        <w:jc w:val="both"/>
        <w:rPr>
          <w:szCs w:val="21"/>
        </w:rPr>
      </w:pPr>
      <w:r>
        <w:rPr>
          <w:rFonts w:hint="eastAsia"/>
          <w:kern w:val="2"/>
          <w:sz w:val="21"/>
          <w:szCs w:val="22"/>
          <w:lang w:bidi="ar"/>
        </w:rPr>
        <w:t>五、</w:t>
      </w:r>
      <w:r>
        <w:rPr>
          <w:rFonts w:hint="eastAsia"/>
          <w:kern w:val="2"/>
          <w:sz w:val="21"/>
          <w:szCs w:val="21"/>
          <w:lang w:bidi="ar"/>
        </w:rPr>
        <w:t>本公司</w:t>
      </w:r>
      <w:r>
        <w:rPr>
          <w:rFonts w:hint="eastAsia"/>
          <w:kern w:val="2"/>
          <w:sz w:val="21"/>
          <w:szCs w:val="22"/>
          <w:lang w:bidi="ar"/>
        </w:rPr>
        <w:t>（企业）</w:t>
      </w:r>
      <w:r>
        <w:rPr>
          <w:rFonts w:hint="eastAsia"/>
          <w:kern w:val="2"/>
          <w:sz w:val="21"/>
          <w:szCs w:val="21"/>
          <w:lang w:bidi="ar"/>
        </w:rPr>
        <w:t>的股东、实际控制人及管理人员均不属于</w:t>
      </w:r>
      <w:r>
        <w:rPr>
          <w:rFonts w:hint="eastAsia"/>
          <w:kern w:val="2"/>
          <w:sz w:val="21"/>
          <w:szCs w:val="21"/>
          <w:lang w:eastAsia="zh-CN" w:bidi="ar"/>
        </w:rPr>
        <w:t>广东省广裕集团阳春实业有限公司</w:t>
      </w:r>
      <w:r>
        <w:rPr>
          <w:rFonts w:hint="eastAsia"/>
          <w:kern w:val="2"/>
          <w:sz w:val="21"/>
          <w:szCs w:val="21"/>
          <w:lang w:bidi="ar"/>
        </w:rPr>
        <w:t>所属警察职工的配偶、子女及其配偶。</w:t>
      </w:r>
    </w:p>
    <w:p w14:paraId="01E86EC0">
      <w:pPr>
        <w:snapToGrid w:val="0"/>
        <w:spacing w:line="360" w:lineRule="auto"/>
        <w:ind w:firstLine="420" w:firstLineChars="200"/>
        <w:rPr>
          <w:rFonts w:ascii="宋体" w:hAnsi="宋体" w:cs="宋体"/>
        </w:rPr>
      </w:pPr>
      <w:r>
        <w:rPr>
          <w:rFonts w:hint="eastAsia" w:ascii="宋体" w:hAnsi="宋体" w:cs="宋体"/>
          <w:lang w:bidi="ar"/>
        </w:rPr>
        <w:t>本公司（企业）承诺在本次采购活动中，如有违法、违规</w:t>
      </w:r>
      <w:r>
        <w:rPr>
          <w:rFonts w:hint="eastAsia" w:ascii="宋体" w:hAnsi="宋体" w:cs="宋体"/>
          <w:szCs w:val="21"/>
          <w:lang w:bidi="ar"/>
        </w:rPr>
        <w:t>、</w:t>
      </w:r>
      <w:r>
        <w:rPr>
          <w:rFonts w:hint="eastAsia" w:ascii="宋体" w:hAnsi="宋体" w:cs="宋体"/>
          <w:lang w:bidi="ar"/>
        </w:rPr>
        <w:t>弄虚作假行为，所造成的损失、不良后果及法律责任，一律由我公司（企业）承担。</w:t>
      </w:r>
    </w:p>
    <w:p w14:paraId="495969F5">
      <w:pPr>
        <w:spacing w:line="360" w:lineRule="auto"/>
        <w:ind w:firstLine="420" w:firstLineChars="200"/>
        <w:rPr>
          <w:rFonts w:ascii="宋体" w:hAnsi="宋体" w:cs="宋体"/>
        </w:rPr>
      </w:pPr>
      <w:r>
        <w:rPr>
          <w:rFonts w:hint="eastAsia" w:ascii="宋体" w:hAnsi="宋体" w:cs="宋体"/>
          <w:lang w:bidi="ar"/>
        </w:rPr>
        <w:t>特此声明！</w:t>
      </w:r>
    </w:p>
    <w:p w14:paraId="00091565">
      <w:pPr>
        <w:autoSpaceDE w:val="0"/>
        <w:autoSpaceDN w:val="0"/>
        <w:adjustRightInd w:val="0"/>
        <w:spacing w:line="360" w:lineRule="auto"/>
        <w:ind w:firstLine="422" w:firstLineChars="200"/>
        <w:rPr>
          <w:rFonts w:ascii="宋体" w:hAnsi="宋体" w:cs="宋体"/>
          <w:b/>
        </w:rPr>
      </w:pPr>
      <w:r>
        <w:rPr>
          <w:rFonts w:hint="eastAsia" w:ascii="宋体" w:hAnsi="宋体" w:cs="宋体"/>
          <w:b/>
          <w:lang w:bidi="ar"/>
        </w:rPr>
        <w:t>备注：</w:t>
      </w:r>
    </w:p>
    <w:p w14:paraId="04EDD5B3">
      <w:pPr>
        <w:pStyle w:val="22"/>
        <w:widowControl w:val="0"/>
        <w:numPr>
          <w:ilvl w:val="0"/>
          <w:numId w:val="25"/>
        </w:numPr>
        <w:autoSpaceDE w:val="0"/>
        <w:autoSpaceDN w:val="0"/>
        <w:adjustRightInd w:val="0"/>
        <w:spacing w:before="0" w:beforeAutospacing="0" w:after="0" w:afterAutospacing="0" w:line="360" w:lineRule="auto"/>
        <w:ind w:left="0" w:firstLine="420" w:firstLineChars="200"/>
        <w:jc w:val="both"/>
      </w:pPr>
      <w:r>
        <w:rPr>
          <w:rFonts w:hint="eastAsia"/>
          <w:kern w:val="2"/>
          <w:sz w:val="21"/>
          <w:szCs w:val="22"/>
          <w:lang w:bidi="ar"/>
        </w:rPr>
        <w:t>本声明函必须提供且内容不得擅自删改，否则视为响应无效。</w:t>
      </w:r>
    </w:p>
    <w:p w14:paraId="3D060CC4">
      <w:pPr>
        <w:pStyle w:val="22"/>
        <w:widowControl w:val="0"/>
        <w:numPr>
          <w:ilvl w:val="0"/>
          <w:numId w:val="25"/>
        </w:numPr>
        <w:snapToGrid w:val="0"/>
        <w:spacing w:before="0" w:beforeAutospacing="0" w:after="0" w:afterAutospacing="0" w:line="360" w:lineRule="auto"/>
        <w:ind w:left="0" w:firstLine="420" w:firstLineChars="200"/>
        <w:jc w:val="both"/>
        <w:rPr>
          <w:szCs w:val="21"/>
        </w:rPr>
      </w:pPr>
      <w:r>
        <w:rPr>
          <w:rFonts w:hint="eastAsia"/>
          <w:kern w:val="2"/>
          <w:sz w:val="21"/>
          <w:szCs w:val="21"/>
          <w:lang w:bidi="ar"/>
        </w:rPr>
        <w:t>本声明函如有虚假或与事实不符的，作无效报价处理。</w:t>
      </w:r>
    </w:p>
    <w:p w14:paraId="52507B67">
      <w:pPr>
        <w:tabs>
          <w:tab w:val="left" w:pos="426"/>
        </w:tabs>
        <w:adjustRightInd w:val="0"/>
        <w:snapToGrid w:val="0"/>
        <w:spacing w:line="360" w:lineRule="auto"/>
        <w:ind w:firstLine="420" w:firstLineChars="200"/>
        <w:rPr>
          <w:rFonts w:ascii="宋体" w:hAnsi="宋体"/>
          <w:bCs/>
          <w:szCs w:val="20"/>
        </w:rPr>
      </w:pPr>
    </w:p>
    <w:p w14:paraId="33BDF8F4">
      <w:pPr>
        <w:spacing w:line="360" w:lineRule="auto"/>
        <w:ind w:firstLine="420" w:firstLineChars="200"/>
        <w:jc w:val="right"/>
        <w:rPr>
          <w:rFonts w:ascii="宋体" w:hAnsi="宋体"/>
          <w:u w:val="single"/>
        </w:rPr>
      </w:pPr>
      <w:r>
        <w:rPr>
          <w:rFonts w:hint="eastAsia" w:ascii="宋体" w:hAnsi="宋体"/>
        </w:rPr>
        <w:t>供应商名称（单位盖</w:t>
      </w:r>
      <w:r>
        <w:rPr>
          <w:rFonts w:hint="eastAsia" w:ascii="宋体" w:hAnsi="宋体"/>
          <w:spacing w:val="4"/>
        </w:rPr>
        <w:t>公章</w:t>
      </w:r>
      <w:r>
        <w:rPr>
          <w:rFonts w:hint="eastAsia" w:ascii="宋体" w:hAnsi="宋体"/>
        </w:rPr>
        <w:t>）：</w:t>
      </w:r>
      <w:r>
        <w:rPr>
          <w:rFonts w:hint="eastAsia" w:ascii="宋体" w:hAnsi="宋体"/>
          <w:u w:val="single"/>
        </w:rPr>
        <w:t xml:space="preserve">                          </w:t>
      </w:r>
    </w:p>
    <w:p w14:paraId="37B0FD21">
      <w:pPr>
        <w:spacing w:line="360" w:lineRule="auto"/>
        <w:ind w:firstLine="420" w:firstLineChars="200"/>
        <w:jc w:val="right"/>
        <w:rPr>
          <w:rFonts w:ascii="宋体" w:hAnsi="宋体"/>
          <w:u w:val="single"/>
        </w:rPr>
      </w:pPr>
      <w:r>
        <w:rPr>
          <w:rFonts w:hint="eastAsia" w:ascii="宋体" w:hAnsi="宋体"/>
        </w:rPr>
        <w:t>日期：</w:t>
      </w:r>
      <w:r>
        <w:rPr>
          <w:rFonts w:hint="eastAsia" w:ascii="宋体" w:hAnsi="宋体"/>
          <w:u w:val="single"/>
        </w:rPr>
        <w:t xml:space="preserve">                          </w:t>
      </w:r>
    </w:p>
    <w:p w14:paraId="54C2129B">
      <w:pPr>
        <w:pStyle w:val="3"/>
        <w:spacing w:before="0" w:after="0" w:line="360" w:lineRule="auto"/>
        <w:jc w:val="center"/>
        <w:rPr>
          <w:rFonts w:ascii="宋体" w:hAnsi="宋体"/>
        </w:rPr>
      </w:pPr>
      <w:r>
        <w:rPr>
          <w:rFonts w:ascii="宋体" w:hAnsi="宋体"/>
        </w:rPr>
        <w:br w:type="page"/>
      </w:r>
      <w:r>
        <w:rPr>
          <w:rFonts w:hint="eastAsia" w:ascii="宋体" w:hAnsi="宋体"/>
        </w:rPr>
        <w:t>用户需求书响应声明函</w:t>
      </w:r>
    </w:p>
    <w:p w14:paraId="459E02E9">
      <w:pPr>
        <w:spacing w:line="360" w:lineRule="auto"/>
        <w:ind w:firstLine="422" w:firstLineChars="200"/>
        <w:rPr>
          <w:rFonts w:hint="eastAsia" w:ascii="宋体" w:hAnsi="宋体" w:eastAsia="宋体"/>
          <w:szCs w:val="21"/>
          <w:lang w:eastAsia="zh-CN"/>
        </w:rPr>
      </w:pPr>
      <w:r>
        <w:rPr>
          <w:rFonts w:hint="eastAsia" w:ascii="宋体" w:hAnsi="宋体"/>
          <w:b/>
          <w:szCs w:val="21"/>
        </w:rPr>
        <w:t>项目名称：</w:t>
      </w:r>
      <w:r>
        <w:rPr>
          <w:rFonts w:hint="eastAsia" w:ascii="宋体" w:hAnsi="宋体"/>
          <w:szCs w:val="21"/>
          <w:lang w:eastAsia="zh-CN"/>
        </w:rPr>
        <w:t>广裕阳春定制类及实训中心会议讨论室办公家具采购项目</w:t>
      </w:r>
    </w:p>
    <w:p w14:paraId="5AEAF306">
      <w:pPr>
        <w:spacing w:line="360" w:lineRule="auto"/>
        <w:ind w:firstLine="422" w:firstLineChars="200"/>
        <w:rPr>
          <w:rFonts w:ascii="宋体" w:hAnsi="宋体"/>
          <w:b/>
          <w:szCs w:val="21"/>
        </w:rPr>
      </w:pPr>
      <w:r>
        <w:rPr>
          <w:rFonts w:hint="eastAsia" w:ascii="宋体" w:hAnsi="宋体"/>
          <w:b/>
          <w:szCs w:val="21"/>
        </w:rPr>
        <w:t>致：</w:t>
      </w:r>
      <w:bookmarkStart w:id="0" w:name="_Hlk73018904"/>
      <w:r>
        <w:rPr>
          <w:rFonts w:hint="eastAsia" w:ascii="宋体" w:hAnsi="宋体"/>
          <w:b/>
          <w:bCs/>
          <w:szCs w:val="21"/>
          <w:lang w:eastAsia="zh-CN"/>
        </w:rPr>
        <w:t>广东省广裕集团阳春实业有限公司</w:t>
      </w:r>
      <w:r>
        <w:rPr>
          <w:rFonts w:hint="eastAsia" w:ascii="宋体" w:hAnsi="宋体"/>
          <w:b/>
          <w:szCs w:val="21"/>
        </w:rPr>
        <w:t>、</w:t>
      </w:r>
      <w:r>
        <w:rPr>
          <w:rFonts w:ascii="宋体" w:hAnsi="宋体"/>
          <w:b/>
          <w:szCs w:val="21"/>
        </w:rPr>
        <w:t>云采链（广州）信息科技有限公司</w:t>
      </w:r>
      <w:bookmarkEnd w:id="0"/>
    </w:p>
    <w:p w14:paraId="32D42330">
      <w:pPr>
        <w:spacing w:line="360" w:lineRule="auto"/>
        <w:ind w:firstLine="420" w:firstLineChars="200"/>
        <w:rPr>
          <w:rFonts w:ascii="宋体" w:hAnsi="宋体"/>
          <w:szCs w:val="21"/>
        </w:rPr>
      </w:pPr>
    </w:p>
    <w:p w14:paraId="6D7C4486">
      <w:pPr>
        <w:spacing w:line="360" w:lineRule="auto"/>
        <w:ind w:firstLine="420" w:firstLineChars="200"/>
        <w:rPr>
          <w:rFonts w:ascii="宋体" w:hAnsi="宋体"/>
          <w:szCs w:val="21"/>
        </w:rPr>
      </w:pPr>
      <w:r>
        <w:rPr>
          <w:rFonts w:hint="eastAsia" w:ascii="宋体" w:hAnsi="宋体"/>
          <w:szCs w:val="21"/>
        </w:rPr>
        <w:t>关于</w:t>
      </w:r>
      <w:bookmarkStart w:id="1" w:name="_Hlk74674106"/>
      <w:r>
        <w:rPr>
          <w:rFonts w:hint="eastAsia" w:ascii="宋体" w:hAnsi="宋体"/>
          <w:szCs w:val="21"/>
        </w:rPr>
        <w:t>贵单位、贵公司</w:t>
      </w:r>
      <w:bookmarkEnd w:id="1"/>
      <w:r>
        <w:rPr>
          <w:rFonts w:hint="eastAsia" w:ascii="宋体" w:hAnsi="宋体"/>
          <w:szCs w:val="21"/>
        </w:rPr>
        <w:t>发布</w:t>
      </w:r>
      <w:r>
        <w:rPr>
          <w:rFonts w:hint="eastAsia" w:ascii="宋体" w:hAnsi="宋体"/>
          <w:b/>
          <w:szCs w:val="21"/>
          <w:u w:val="single"/>
          <w:lang w:eastAsia="zh-CN"/>
        </w:rPr>
        <w:t>广裕阳春定制类及实训中心会议讨论室办公家具采购项目</w:t>
      </w:r>
      <w:r>
        <w:rPr>
          <w:rFonts w:hint="eastAsia" w:ascii="宋体" w:hAnsi="宋体"/>
          <w:szCs w:val="21"/>
        </w:rPr>
        <w:t>的</w:t>
      </w:r>
      <w:r>
        <w:rPr>
          <w:rFonts w:hint="eastAsia" w:ascii="宋体" w:hAnsi="宋体"/>
        </w:rPr>
        <w:t>零散采购</w:t>
      </w:r>
      <w:r>
        <w:rPr>
          <w:rFonts w:hint="eastAsia" w:ascii="宋体" w:hAnsi="宋体"/>
          <w:szCs w:val="21"/>
        </w:rPr>
        <w:t>公告，本公司（企业）愿意参加采购活动，并作出如下声明：</w:t>
      </w:r>
    </w:p>
    <w:p w14:paraId="4E4374C8">
      <w:pPr>
        <w:pStyle w:val="41"/>
        <w:tabs>
          <w:tab w:val="left" w:pos="426"/>
        </w:tabs>
        <w:snapToGrid w:val="0"/>
        <w:spacing w:line="360" w:lineRule="auto"/>
        <w:rPr>
          <w:rFonts w:ascii="宋体" w:hAnsi="宋体"/>
          <w:szCs w:val="21"/>
        </w:rPr>
      </w:pPr>
      <w:r>
        <w:rPr>
          <w:rFonts w:hint="eastAsia" w:ascii="宋体" w:hAnsi="宋体"/>
          <w:szCs w:val="2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14:paraId="5459ACAB">
      <w:pPr>
        <w:pStyle w:val="41"/>
        <w:tabs>
          <w:tab w:val="left" w:pos="426"/>
        </w:tabs>
        <w:snapToGrid w:val="0"/>
        <w:spacing w:line="360" w:lineRule="auto"/>
        <w:rPr>
          <w:rFonts w:ascii="宋体" w:hAnsi="宋体" w:cs="宋体"/>
          <w:szCs w:val="21"/>
        </w:rPr>
      </w:pPr>
      <w:r>
        <w:rPr>
          <w:rFonts w:hint="eastAsia" w:ascii="宋体" w:hAnsi="宋体" w:cs="宋体"/>
          <w:szCs w:val="21"/>
        </w:rPr>
        <w:t>本公司（企业）承诺在本次采购活动中，如有违法、违规、弄虚作假行为，所造成的损失、不良后果及法律责任，一律由我公司（企业）承担。</w:t>
      </w:r>
    </w:p>
    <w:p w14:paraId="3D74F7F8">
      <w:pPr>
        <w:autoSpaceDE w:val="0"/>
        <w:autoSpaceDN w:val="0"/>
        <w:adjustRightInd w:val="0"/>
        <w:spacing w:line="360" w:lineRule="auto"/>
        <w:ind w:firstLine="422" w:firstLineChars="200"/>
        <w:rPr>
          <w:rFonts w:ascii="宋体" w:hAnsi="宋体"/>
          <w:b/>
          <w:szCs w:val="21"/>
        </w:rPr>
      </w:pPr>
      <w:r>
        <w:rPr>
          <w:rFonts w:hint="eastAsia" w:ascii="宋体" w:hAnsi="宋体"/>
          <w:b/>
          <w:szCs w:val="21"/>
        </w:rPr>
        <w:t>备注：</w:t>
      </w:r>
    </w:p>
    <w:p w14:paraId="27604104">
      <w:pPr>
        <w:pStyle w:val="54"/>
        <w:numPr>
          <w:ilvl w:val="0"/>
          <w:numId w:val="26"/>
        </w:numPr>
        <w:autoSpaceDE w:val="0"/>
        <w:autoSpaceDN w:val="0"/>
        <w:adjustRightInd w:val="0"/>
        <w:spacing w:line="360" w:lineRule="auto"/>
        <w:ind w:left="0" w:firstLine="420"/>
        <w:rPr>
          <w:rFonts w:ascii="宋体" w:hAnsi="宋体"/>
          <w:szCs w:val="21"/>
        </w:rPr>
      </w:pPr>
      <w:r>
        <w:rPr>
          <w:rFonts w:hint="eastAsia" w:ascii="宋体" w:hAnsi="宋体"/>
          <w:szCs w:val="21"/>
        </w:rPr>
        <w:t>本声明函必须提供且内容不得擅自删改，否则视为响应无效。</w:t>
      </w:r>
    </w:p>
    <w:p w14:paraId="28B5D63E">
      <w:pPr>
        <w:pStyle w:val="54"/>
        <w:numPr>
          <w:ilvl w:val="0"/>
          <w:numId w:val="26"/>
        </w:numPr>
        <w:snapToGrid w:val="0"/>
        <w:spacing w:line="360" w:lineRule="auto"/>
        <w:ind w:left="0" w:firstLine="420"/>
        <w:rPr>
          <w:rFonts w:ascii="宋体" w:hAnsi="宋体"/>
          <w:szCs w:val="21"/>
        </w:rPr>
      </w:pPr>
      <w:r>
        <w:rPr>
          <w:rFonts w:hint="eastAsia" w:ascii="宋体" w:hAnsi="宋体"/>
          <w:szCs w:val="21"/>
        </w:rPr>
        <w:t>本声明函如有虚假或与事实不符的，作无效报价处理。</w:t>
      </w:r>
    </w:p>
    <w:p w14:paraId="1999B8BA">
      <w:pPr>
        <w:pStyle w:val="41"/>
        <w:tabs>
          <w:tab w:val="left" w:pos="426"/>
        </w:tabs>
        <w:snapToGrid w:val="0"/>
        <w:spacing w:line="360" w:lineRule="auto"/>
        <w:rPr>
          <w:rFonts w:ascii="宋体" w:hAnsi="宋体" w:cs="宋体"/>
          <w:szCs w:val="21"/>
        </w:rPr>
      </w:pPr>
    </w:p>
    <w:p w14:paraId="7DEED47A">
      <w:pPr>
        <w:widowControl/>
        <w:spacing w:line="360" w:lineRule="auto"/>
        <w:ind w:firstLine="422" w:firstLineChars="200"/>
        <w:jc w:val="left"/>
        <w:rPr>
          <w:rFonts w:ascii="宋体" w:hAnsi="宋体"/>
          <w:b/>
          <w:bCs/>
          <w:kern w:val="0"/>
          <w:szCs w:val="21"/>
        </w:rPr>
      </w:pPr>
    </w:p>
    <w:p w14:paraId="2E6FFEF1">
      <w:pPr>
        <w:spacing w:line="360" w:lineRule="auto"/>
        <w:ind w:firstLine="420" w:firstLineChars="200"/>
        <w:jc w:val="right"/>
        <w:rPr>
          <w:rFonts w:ascii="宋体" w:hAnsi="宋体"/>
          <w:u w:val="single"/>
        </w:rPr>
      </w:pPr>
      <w:r>
        <w:rPr>
          <w:rFonts w:hint="eastAsia" w:ascii="宋体" w:hAnsi="宋体"/>
        </w:rPr>
        <w:t>供应商名称（单位盖</w:t>
      </w:r>
      <w:r>
        <w:rPr>
          <w:rFonts w:hint="eastAsia" w:ascii="宋体" w:hAnsi="宋体"/>
          <w:spacing w:val="4"/>
        </w:rPr>
        <w:t>公章</w:t>
      </w:r>
      <w:r>
        <w:rPr>
          <w:rFonts w:hint="eastAsia" w:ascii="宋体" w:hAnsi="宋体"/>
        </w:rPr>
        <w:t>）：</w:t>
      </w:r>
      <w:r>
        <w:rPr>
          <w:rFonts w:hint="eastAsia" w:ascii="宋体" w:hAnsi="宋体"/>
          <w:u w:val="single"/>
        </w:rPr>
        <w:t xml:space="preserve">                    </w:t>
      </w:r>
    </w:p>
    <w:p w14:paraId="1E2993F2">
      <w:pPr>
        <w:spacing w:line="360" w:lineRule="auto"/>
        <w:ind w:firstLine="420" w:firstLineChars="200"/>
        <w:jc w:val="right"/>
        <w:rPr>
          <w:rFonts w:ascii="宋体" w:hAnsi="宋体"/>
          <w:u w:val="single"/>
        </w:rPr>
      </w:pPr>
      <w:r>
        <w:rPr>
          <w:rFonts w:hint="eastAsia" w:ascii="宋体" w:hAnsi="宋体"/>
        </w:rPr>
        <w:t>日期：</w:t>
      </w:r>
      <w:r>
        <w:rPr>
          <w:rFonts w:hint="eastAsia" w:ascii="宋体" w:hAnsi="宋体"/>
          <w:u w:val="single"/>
        </w:rPr>
        <w:t xml:space="preserve">                   </w:t>
      </w:r>
    </w:p>
    <w:p w14:paraId="4CCA456D">
      <w:pPr>
        <w:spacing w:line="360" w:lineRule="auto"/>
        <w:ind w:firstLine="210" w:firstLineChars="100"/>
        <w:rPr>
          <w:rFonts w:ascii="宋体" w:hAnsi="宋体"/>
          <w:szCs w:val="21"/>
          <w:u w:val="single"/>
        </w:rPr>
      </w:pPr>
    </w:p>
    <w:p w14:paraId="0FA27247">
      <w:pPr>
        <w:widowControl/>
        <w:spacing w:line="360" w:lineRule="auto"/>
        <w:jc w:val="left"/>
        <w:rPr>
          <w:rFonts w:ascii="宋体" w:hAnsi="宋体"/>
        </w:rPr>
      </w:pPr>
      <w:r>
        <w:rPr>
          <w:rFonts w:ascii="宋体" w:hAnsi="宋体"/>
        </w:rPr>
        <w:br w:type="page"/>
      </w:r>
    </w:p>
    <w:p w14:paraId="006194BE">
      <w:pPr>
        <w:pStyle w:val="3"/>
        <w:pageBreakBefore/>
        <w:adjustRightInd w:val="0"/>
        <w:snapToGrid w:val="0"/>
        <w:spacing w:before="0" w:after="0" w:line="360" w:lineRule="auto"/>
        <w:jc w:val="center"/>
        <w:rPr>
          <w:rFonts w:ascii="宋体" w:hAnsi="宋体"/>
        </w:rPr>
      </w:pPr>
      <w:r>
        <w:rPr>
          <w:rFonts w:hint="eastAsia" w:ascii="宋体" w:hAnsi="宋体"/>
        </w:rPr>
        <w:t>法定代表人授权委托书</w:t>
      </w:r>
    </w:p>
    <w:p w14:paraId="6F3F1691">
      <w:pPr>
        <w:pStyle w:val="15"/>
        <w:spacing w:line="360" w:lineRule="auto"/>
        <w:ind w:firstLine="420" w:firstLineChars="200"/>
        <w:rPr>
          <w:rFonts w:hAnsi="宋体"/>
          <w:sz w:val="21"/>
        </w:rPr>
      </w:pPr>
      <w:r>
        <w:rPr>
          <w:rFonts w:hint="eastAsia" w:hAnsi="宋体"/>
          <w:sz w:val="21"/>
        </w:rPr>
        <w:t>本授权委托书声明：注册于</w:t>
      </w:r>
      <w:r>
        <w:rPr>
          <w:rFonts w:hint="eastAsia" w:hAnsi="宋体"/>
          <w:sz w:val="21"/>
          <w:u w:val="single"/>
        </w:rPr>
        <w:t xml:space="preserve"> （供应商地址）  </w:t>
      </w:r>
      <w:r>
        <w:rPr>
          <w:rFonts w:hint="eastAsia" w:hAnsi="宋体"/>
          <w:sz w:val="21"/>
        </w:rPr>
        <w:t>的</w:t>
      </w:r>
      <w:r>
        <w:rPr>
          <w:rFonts w:hint="eastAsia" w:hAnsi="宋体"/>
          <w:sz w:val="21"/>
          <w:u w:val="single"/>
        </w:rPr>
        <w:t xml:space="preserve">  （供应商名称）    </w:t>
      </w:r>
      <w:r>
        <w:rPr>
          <w:rFonts w:hint="eastAsia" w:hAnsi="宋体"/>
          <w:sz w:val="21"/>
        </w:rPr>
        <w:t>在下面签名的</w:t>
      </w:r>
      <w:r>
        <w:rPr>
          <w:rFonts w:hint="eastAsia" w:hAnsi="宋体"/>
          <w:sz w:val="21"/>
          <w:u w:val="single"/>
        </w:rPr>
        <w:t>（法定代表人姓名、职务）</w:t>
      </w:r>
      <w:r>
        <w:rPr>
          <w:rFonts w:hint="eastAsia" w:hAnsi="宋体"/>
          <w:sz w:val="21"/>
        </w:rPr>
        <w:t>在此授权本公司</w:t>
      </w:r>
      <w:r>
        <w:rPr>
          <w:rFonts w:hint="eastAsia" w:hAnsi="宋体"/>
          <w:sz w:val="21"/>
          <w:u w:val="single"/>
        </w:rPr>
        <w:t>（被授权人姓名、职务）</w:t>
      </w:r>
      <w:r>
        <w:rPr>
          <w:rFonts w:hint="eastAsia" w:hAnsi="宋体"/>
          <w:sz w:val="21"/>
        </w:rPr>
        <w:t>作为我公司的合法代理人，就</w:t>
      </w:r>
      <w:r>
        <w:rPr>
          <w:rFonts w:hint="eastAsia" w:hAnsi="宋体"/>
          <w:sz w:val="21"/>
          <w:u w:val="single"/>
        </w:rPr>
        <w:t xml:space="preserve"> </w:t>
      </w:r>
      <w:r>
        <w:rPr>
          <w:rFonts w:hint="eastAsia" w:hAnsi="宋体"/>
          <w:b/>
          <w:sz w:val="21"/>
          <w:u w:val="single"/>
          <w:lang w:eastAsia="zh-CN"/>
        </w:rPr>
        <w:t>广裕阳春定制类及实训中心会议讨论室办公家具采购项目</w:t>
      </w:r>
      <w:r>
        <w:rPr>
          <w:rFonts w:hint="eastAsia" w:hAnsi="宋体"/>
          <w:b/>
          <w:bCs/>
          <w:sz w:val="21"/>
          <w:u w:val="single"/>
        </w:rPr>
        <w:t xml:space="preserve"> </w:t>
      </w:r>
      <w:r>
        <w:rPr>
          <w:rFonts w:hint="eastAsia" w:hAnsi="宋体"/>
          <w:sz w:val="21"/>
        </w:rPr>
        <w:t>的零散采购项目活动，采购合同的签订、执行、完成和售后服务，作为供应商代表以我方的名义处理一切与之有关的事务。</w:t>
      </w:r>
    </w:p>
    <w:p w14:paraId="60B138F3">
      <w:pPr>
        <w:pStyle w:val="15"/>
        <w:spacing w:line="360" w:lineRule="auto"/>
        <w:ind w:firstLine="420" w:firstLineChars="200"/>
        <w:rPr>
          <w:rFonts w:hAnsi="宋体"/>
          <w:sz w:val="21"/>
        </w:rPr>
      </w:pPr>
      <w:r>
        <w:rPr>
          <w:rFonts w:hint="eastAsia" w:hAnsi="宋体"/>
          <w:sz w:val="21"/>
        </w:rPr>
        <w:t>被授权人（供应商授权代表）无转委托权限。</w:t>
      </w:r>
    </w:p>
    <w:p w14:paraId="2B7CCB0F">
      <w:pPr>
        <w:spacing w:line="360" w:lineRule="auto"/>
        <w:ind w:firstLine="420" w:firstLineChars="200"/>
        <w:rPr>
          <w:rFonts w:ascii="宋体" w:hAnsi="宋体"/>
          <w:szCs w:val="21"/>
        </w:rPr>
      </w:pPr>
      <w:r>
        <w:rPr>
          <w:rFonts w:hint="eastAsia" w:ascii="宋体" w:hAnsi="宋体"/>
          <w:szCs w:val="21"/>
        </w:rPr>
        <w:t>本授权书自法定代表人签字之日起生效，特此声明。</w:t>
      </w:r>
    </w:p>
    <w:p w14:paraId="3CF230C0">
      <w:pPr>
        <w:spacing w:line="360" w:lineRule="auto"/>
        <w:ind w:firstLine="200"/>
        <w:rPr>
          <w:rFonts w:ascii="宋体" w:hAnsi="宋体"/>
          <w:b/>
          <w:szCs w:val="21"/>
        </w:rPr>
      </w:pPr>
      <w:r>
        <w:rPr>
          <w:rFonts w:hint="eastAsia" w:ascii="宋体" w:hAnsi="宋体"/>
          <w:b/>
          <w:szCs w:val="21"/>
        </w:rPr>
        <w:t>随附1、《法定代表人证明书》；</w:t>
      </w:r>
    </w:p>
    <w:p w14:paraId="55F81F6D">
      <w:pPr>
        <w:spacing w:line="360" w:lineRule="auto"/>
        <w:ind w:firstLine="200"/>
        <w:rPr>
          <w:rFonts w:ascii="宋体" w:hAnsi="宋体"/>
          <w:szCs w:val="21"/>
        </w:rPr>
      </w:pPr>
    </w:p>
    <w:p w14:paraId="4E93E989">
      <w:pPr>
        <w:spacing w:line="360" w:lineRule="auto"/>
        <w:ind w:firstLine="200"/>
        <w:rPr>
          <w:rFonts w:ascii="宋体" w:hAnsi="宋体"/>
          <w:szCs w:val="21"/>
        </w:rPr>
      </w:pPr>
      <w:r>
        <w:rPr>
          <w:rFonts w:hint="eastAsia" w:ascii="宋体" w:hAnsi="宋体"/>
          <w:szCs w:val="21"/>
        </w:rPr>
        <w:t>供应商名称（盖公章）：</w:t>
      </w:r>
    </w:p>
    <w:p w14:paraId="5A4B8C3F">
      <w:pPr>
        <w:spacing w:line="360" w:lineRule="auto"/>
        <w:ind w:firstLine="200"/>
        <w:rPr>
          <w:rFonts w:ascii="宋体" w:hAnsi="宋体"/>
          <w:szCs w:val="21"/>
        </w:rPr>
      </w:pPr>
      <w:r>
        <w:rPr>
          <w:rFonts w:hint="eastAsia" w:ascii="宋体" w:hAnsi="宋体"/>
          <w:szCs w:val="21"/>
        </w:rPr>
        <w:t>地      址：</w:t>
      </w:r>
    </w:p>
    <w:p w14:paraId="72030139">
      <w:pPr>
        <w:tabs>
          <w:tab w:val="left" w:pos="3780"/>
        </w:tabs>
        <w:spacing w:line="360" w:lineRule="auto"/>
        <w:ind w:firstLine="200"/>
        <w:rPr>
          <w:rFonts w:ascii="宋体" w:hAnsi="宋体"/>
          <w:szCs w:val="21"/>
        </w:rPr>
      </w:pPr>
      <w:r>
        <w:rPr>
          <w:rFonts w:hint="eastAsia" w:ascii="宋体" w:hAnsi="宋体"/>
          <w:szCs w:val="21"/>
        </w:rPr>
        <w:t>法定代表人（签字或盖章）：                         签字日期：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2416FCC8">
      <w:pPr>
        <w:spacing w:line="360" w:lineRule="auto"/>
        <w:rPr>
          <w:rFonts w:ascii="宋体" w:hAnsi="宋体"/>
          <w:szCs w:val="21"/>
        </w:rPr>
      </w:pPr>
      <w:r>
        <w:rPr>
          <w:rFonts w:ascii="宋体" w:hAnsi="宋体"/>
          <w:szCs w:val="21"/>
        </w:rPr>
        <mc:AlternateContent>
          <mc:Choice Requires="wpg">
            <w:drawing>
              <wp:anchor distT="0" distB="0" distL="114300" distR="114300" simplePos="0" relativeHeight="251659264" behindDoc="0" locked="0" layoutInCell="1" allowOverlap="1">
                <wp:simplePos x="0" y="0"/>
                <wp:positionH relativeFrom="column">
                  <wp:posOffset>66040</wp:posOffset>
                </wp:positionH>
                <wp:positionV relativeFrom="paragraph">
                  <wp:posOffset>157480</wp:posOffset>
                </wp:positionV>
                <wp:extent cx="4665980" cy="1509395"/>
                <wp:effectExtent l="0" t="0" r="20955" b="14605"/>
                <wp:wrapNone/>
                <wp:docPr id="5" name="组合 1026"/>
                <wp:cNvGraphicFramePr/>
                <a:graphic xmlns:a="http://schemas.openxmlformats.org/drawingml/2006/main">
                  <a:graphicData uri="http://schemas.microsoft.com/office/word/2010/wordprocessingGroup">
                    <wpg:wgp>
                      <wpg:cNvGrpSpPr/>
                      <wpg:grpSpPr>
                        <a:xfrm>
                          <a:off x="0" y="0"/>
                          <a:ext cx="4665932" cy="1509623"/>
                          <a:chOff x="1080" y="8670"/>
                          <a:chExt cx="8900" cy="2509"/>
                        </a:xfrm>
                        <a:effectLst/>
                      </wpg:grpSpPr>
                      <wps:wsp>
                        <wps:cNvPr id="6" name="矩形 1027"/>
                        <wps:cNvSpPr>
                          <a:spLocks noChangeArrowheads="1"/>
                        </wps:cNvSpPr>
                        <wps:spPr bwMode="auto">
                          <a:xfrm>
                            <a:off x="1080" y="8670"/>
                            <a:ext cx="4218" cy="2509"/>
                          </a:xfrm>
                          <a:prstGeom prst="rect">
                            <a:avLst/>
                          </a:prstGeom>
                          <a:solidFill>
                            <a:srgbClr val="FFFFFF"/>
                          </a:solidFill>
                          <a:ln w="9525">
                            <a:solidFill>
                              <a:srgbClr val="000000"/>
                            </a:solidFill>
                            <a:miter lim="200000"/>
                          </a:ln>
                          <a:effectLst/>
                        </wps:spPr>
                        <wps:txbx>
                          <w:txbxContent>
                            <w:p w14:paraId="7A58FC04">
                              <w:pPr>
                                <w:jc w:val="center"/>
                              </w:pPr>
                              <w:r>
                                <w:rPr>
                                  <w:rFonts w:hint="eastAsia"/>
                                </w:rPr>
                                <w:t>身份证（正面）</w:t>
                              </w:r>
                            </w:p>
                          </w:txbxContent>
                        </wps:txbx>
                        <wps:bodyPr rot="0" vert="horz" wrap="square" lIns="91440" tIns="45720" rIns="91440" bIns="45720" anchor="t" anchorCtr="0" upright="1">
                          <a:noAutofit/>
                        </wps:bodyPr>
                      </wps:wsp>
                      <wps:wsp>
                        <wps:cNvPr id="7" name="矩形 1028"/>
                        <wps:cNvSpPr>
                          <a:spLocks noChangeArrowheads="1"/>
                        </wps:cNvSpPr>
                        <wps:spPr bwMode="auto">
                          <a:xfrm>
                            <a:off x="5761" y="8670"/>
                            <a:ext cx="4219" cy="2509"/>
                          </a:xfrm>
                          <a:prstGeom prst="rect">
                            <a:avLst/>
                          </a:prstGeom>
                          <a:solidFill>
                            <a:srgbClr val="FFFFFF"/>
                          </a:solidFill>
                          <a:ln w="9525">
                            <a:solidFill>
                              <a:srgbClr val="000000"/>
                            </a:solidFill>
                            <a:miter lim="200000"/>
                          </a:ln>
                          <a:effectLst/>
                        </wps:spPr>
                        <wps:txbx>
                          <w:txbxContent>
                            <w:p w14:paraId="4D92EE43">
                              <w:pPr>
                                <w:jc w:val="center"/>
                              </w:pPr>
                              <w:r>
                                <w:rPr>
                                  <w:rFonts w:hint="eastAsia"/>
                                </w:rPr>
                                <w:t>身份证（反面）</w:t>
                              </w:r>
                            </w:p>
                            <w:p w14:paraId="7434BD49"/>
                          </w:txbxContent>
                        </wps:txbx>
                        <wps:bodyPr rot="0" vert="horz" wrap="square" lIns="91440" tIns="45720" rIns="91440" bIns="45720" anchor="t" anchorCtr="0" upright="1">
                          <a:noAutofit/>
                        </wps:bodyPr>
                      </wps:wsp>
                    </wpg:wgp>
                  </a:graphicData>
                </a:graphic>
              </wp:anchor>
            </w:drawing>
          </mc:Choice>
          <mc:Fallback>
            <w:pict>
              <v:group id="组合 1026" o:spid="_x0000_s1026" o:spt="203" style="position:absolute;left:0pt;margin-left:5.2pt;margin-top:12.4pt;height:118.85pt;width:367.4pt;z-index:251659264;mso-width-relative:page;mso-height-relative:page;" coordorigin="1080,8670" coordsize="8900,2509" o:gfxdata="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A8NFWg2AAAAAkBAAAPAAAAAAAAAAEAIAAAACIAAABkcnMvZG93bnJldi54bWxQSwECFAAU&#10;AAAACACHTuJAiSlaqNUCAAB8CAAADgAAAAAAAAABACAAAAAnAQAAZHJzL2Uyb0RvYy54bWxQSwUG&#10;AAAAAAYABgBZAQAAbgYAAAAA&#10;">
                <o:lock v:ext="edit" aspectratio="f"/>
                <v:rect id="矩形 1027" o:spid="_x0000_s1026" o:spt="1" style="position:absolute;left:1080;top:8670;height:2509;width:4218;" fillcolor="#FFFFFF" filled="t" stroked="t" coordsize="21600,21600" o:gfxdata="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ELxYbsAAADa&#10;AAAADwAAAAAAAAABACAAAAAiAAAAZHJzL2Rvd25yZXYueG1sUEsBAhQAFAAAAAgAh07iQDMvBZ47&#10;AAAAOQAAABAAAAAAAAAAAQAgAAAACgEAAGRycy9zaGFwZXhtbC54bWxQSwUGAAAAAAYABgBbAQAA&#10;tAMAAAAA&#10;">
                  <v:fill on="t" focussize="0,0"/>
                  <v:stroke color="#000000" miterlimit="2" joinstyle="miter"/>
                  <v:imagedata o:title=""/>
                  <o:lock v:ext="edit" aspectratio="f"/>
                  <v:textbox>
                    <w:txbxContent>
                      <w:p w14:paraId="7A58FC04">
                        <w:pPr>
                          <w:jc w:val="center"/>
                        </w:pPr>
                        <w:r>
                          <w:rPr>
                            <w:rFonts w:hint="eastAsia"/>
                          </w:rPr>
                          <w:t>身份证（正面）</w:t>
                        </w:r>
                      </w:p>
                    </w:txbxContent>
                  </v:textbox>
                </v:rect>
                <v:rect id="矩形 1028" o:spid="_x0000_s1026" o:spt="1" style="position:absolute;left:5761;top:8670;height:2509;width:4219;" fillcolor="#FFFFFF" filled="t" stroked="t" coordsize="21600,21600" o:gfxdata="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cOVPq8AAAA&#10;2gAAAA8AAAAAAAAAAQAgAAAAIgAAAGRycy9kb3ducmV2LnhtbFBLAQIUABQAAAAIAIdO4kAzLwWe&#10;OwAAADkAAAAQAAAAAAAAAAEAIAAAAAsBAABkcnMvc2hhcGV4bWwueG1sUEsFBgAAAAAGAAYAWwEA&#10;ALUDAAAAAA==&#10;">
                  <v:fill on="t" focussize="0,0"/>
                  <v:stroke color="#000000" miterlimit="2" joinstyle="miter"/>
                  <v:imagedata o:title=""/>
                  <o:lock v:ext="edit" aspectratio="f"/>
                  <v:textbox>
                    <w:txbxContent>
                      <w:p w14:paraId="4D92EE43">
                        <w:pPr>
                          <w:jc w:val="center"/>
                        </w:pPr>
                        <w:r>
                          <w:rPr>
                            <w:rFonts w:hint="eastAsia"/>
                          </w:rPr>
                          <w:t>身份证（反面）</w:t>
                        </w:r>
                      </w:p>
                      <w:p w14:paraId="7434BD49"/>
                    </w:txbxContent>
                  </v:textbox>
                </v:rect>
              </v:group>
            </w:pict>
          </mc:Fallback>
        </mc:AlternateContent>
      </w:r>
    </w:p>
    <w:p w14:paraId="185CA682">
      <w:pPr>
        <w:spacing w:line="360" w:lineRule="auto"/>
        <w:rPr>
          <w:rFonts w:ascii="宋体" w:hAnsi="宋体"/>
          <w:szCs w:val="21"/>
        </w:rPr>
      </w:pPr>
    </w:p>
    <w:p w14:paraId="4DC4C8F4">
      <w:pPr>
        <w:spacing w:line="360" w:lineRule="auto"/>
        <w:rPr>
          <w:rFonts w:ascii="宋体" w:hAnsi="宋体"/>
          <w:szCs w:val="21"/>
        </w:rPr>
      </w:pPr>
    </w:p>
    <w:p w14:paraId="20FD81B0">
      <w:pPr>
        <w:spacing w:line="360" w:lineRule="auto"/>
        <w:rPr>
          <w:rFonts w:ascii="宋体" w:hAnsi="宋体"/>
          <w:szCs w:val="21"/>
        </w:rPr>
      </w:pPr>
    </w:p>
    <w:p w14:paraId="453B1ED2">
      <w:pPr>
        <w:spacing w:line="360" w:lineRule="auto"/>
        <w:rPr>
          <w:rFonts w:ascii="宋体" w:hAnsi="宋体"/>
          <w:szCs w:val="21"/>
        </w:rPr>
      </w:pPr>
    </w:p>
    <w:p w14:paraId="068D8D2D">
      <w:pPr>
        <w:spacing w:line="360" w:lineRule="auto"/>
        <w:rPr>
          <w:rFonts w:ascii="宋体" w:hAnsi="宋体"/>
          <w:szCs w:val="21"/>
        </w:rPr>
      </w:pPr>
    </w:p>
    <w:p w14:paraId="7A9E4B04">
      <w:pPr>
        <w:spacing w:line="360" w:lineRule="auto"/>
        <w:rPr>
          <w:rFonts w:ascii="宋体" w:hAnsi="宋体"/>
          <w:szCs w:val="21"/>
        </w:rPr>
      </w:pPr>
    </w:p>
    <w:p w14:paraId="12828574">
      <w:pPr>
        <w:pStyle w:val="3"/>
        <w:spacing w:before="0" w:after="0" w:line="360" w:lineRule="auto"/>
        <w:jc w:val="center"/>
        <w:rPr>
          <w:rFonts w:ascii="宋体" w:hAnsi="宋体"/>
        </w:rPr>
      </w:pPr>
      <w:r>
        <w:rPr>
          <w:rFonts w:ascii="宋体" w:hAnsi="宋体"/>
          <w:szCs w:val="21"/>
        </w:rPr>
        <w:br w:type="page"/>
      </w:r>
      <w:r>
        <w:rPr>
          <w:rFonts w:hint="eastAsia" w:ascii="宋体" w:hAnsi="宋体"/>
        </w:rPr>
        <w:t>法定代表人证明书</w:t>
      </w:r>
    </w:p>
    <w:p w14:paraId="7CDBCB12">
      <w:pPr>
        <w:tabs>
          <w:tab w:val="left" w:pos="900"/>
        </w:tabs>
        <w:spacing w:line="360" w:lineRule="auto"/>
        <w:ind w:firstLine="945" w:firstLineChars="450"/>
        <w:rPr>
          <w:rFonts w:ascii="宋体" w:hAnsi="宋体"/>
          <w:szCs w:val="21"/>
        </w:rPr>
      </w:pP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同志，现任我单位</w:t>
      </w:r>
      <w:r>
        <w:rPr>
          <w:rFonts w:ascii="宋体" w:hAnsi="宋体"/>
          <w:szCs w:val="21"/>
          <w:u w:val="single"/>
        </w:rPr>
        <w:t xml:space="preserve">         </w:t>
      </w:r>
      <w:r>
        <w:rPr>
          <w:rFonts w:hint="eastAsia" w:ascii="宋体" w:hAnsi="宋体"/>
          <w:szCs w:val="21"/>
        </w:rPr>
        <w:t>职务，为法定代表人，特此证明。</w:t>
      </w:r>
    </w:p>
    <w:p w14:paraId="2A64F71F">
      <w:pPr>
        <w:spacing w:line="360" w:lineRule="auto"/>
        <w:ind w:firstLine="420" w:firstLineChars="200"/>
        <w:rPr>
          <w:rFonts w:ascii="宋体" w:hAnsi="宋体"/>
          <w:szCs w:val="21"/>
        </w:rPr>
      </w:pPr>
      <w:r>
        <w:rPr>
          <w:rFonts w:hint="eastAsia" w:ascii="宋体" w:hAnsi="宋体"/>
          <w:szCs w:val="21"/>
        </w:rPr>
        <w:t>本证明书自签发之日起生效，有效期与本公司参与</w:t>
      </w:r>
      <w:r>
        <w:rPr>
          <w:rFonts w:hint="eastAsia" w:ascii="宋体" w:hAnsi="宋体"/>
        </w:rPr>
        <w:t>零散采购项目</w:t>
      </w:r>
      <w:r>
        <w:rPr>
          <w:rFonts w:hint="eastAsia" w:ascii="宋体" w:hAnsi="宋体"/>
          <w:szCs w:val="21"/>
        </w:rPr>
        <w:t>的文件中标注的有效期相同。</w:t>
      </w:r>
    </w:p>
    <w:p w14:paraId="59F8547C">
      <w:pPr>
        <w:spacing w:line="360" w:lineRule="auto"/>
        <w:ind w:firstLine="420" w:firstLineChars="200"/>
        <w:rPr>
          <w:rFonts w:ascii="宋体" w:hAnsi="宋体"/>
          <w:szCs w:val="21"/>
        </w:rPr>
      </w:pPr>
      <w:r>
        <w:rPr>
          <w:rFonts w:hint="eastAsia" w:ascii="宋体" w:hAnsi="宋体"/>
          <w:szCs w:val="21"/>
        </w:rPr>
        <w:t>附：</w:t>
      </w:r>
    </w:p>
    <w:p w14:paraId="65C1D399">
      <w:pPr>
        <w:spacing w:line="360" w:lineRule="auto"/>
        <w:ind w:firstLine="840" w:firstLineChars="400"/>
        <w:rPr>
          <w:rFonts w:ascii="宋体" w:hAnsi="宋体"/>
          <w:szCs w:val="21"/>
        </w:rPr>
      </w:pPr>
      <w:r>
        <w:rPr>
          <w:rFonts w:hint="eastAsia" w:ascii="宋体" w:hAnsi="宋体"/>
          <w:szCs w:val="21"/>
        </w:rPr>
        <w:t xml:space="preserve">营业执照（注册号）：                       </w:t>
      </w:r>
    </w:p>
    <w:p w14:paraId="150C808A">
      <w:pPr>
        <w:spacing w:line="360" w:lineRule="auto"/>
        <w:ind w:firstLine="840" w:firstLineChars="400"/>
        <w:rPr>
          <w:rFonts w:ascii="宋体" w:hAnsi="宋体"/>
          <w:szCs w:val="21"/>
        </w:rPr>
      </w:pPr>
      <w:r>
        <w:rPr>
          <w:rFonts w:hint="eastAsia" w:ascii="宋体" w:hAnsi="宋体"/>
          <w:szCs w:val="21"/>
        </w:rPr>
        <w:t>经济性质：</w:t>
      </w:r>
    </w:p>
    <w:p w14:paraId="08717364">
      <w:pPr>
        <w:spacing w:line="360" w:lineRule="auto"/>
        <w:ind w:firstLine="840" w:firstLineChars="400"/>
        <w:rPr>
          <w:rFonts w:ascii="宋体" w:hAnsi="宋体"/>
          <w:szCs w:val="21"/>
        </w:rPr>
      </w:pPr>
      <w:r>
        <w:rPr>
          <w:rFonts w:hint="eastAsia" w:ascii="宋体" w:hAnsi="宋体"/>
          <w:szCs w:val="21"/>
        </w:rPr>
        <w:t>主营（产）：</w:t>
      </w:r>
    </w:p>
    <w:p w14:paraId="0ECED6D9">
      <w:pPr>
        <w:spacing w:line="360" w:lineRule="auto"/>
        <w:ind w:firstLine="840" w:firstLineChars="400"/>
        <w:rPr>
          <w:rFonts w:ascii="宋体" w:hAnsi="宋体"/>
          <w:szCs w:val="21"/>
        </w:rPr>
      </w:pPr>
      <w:r>
        <w:rPr>
          <w:rFonts w:hint="eastAsia" w:ascii="宋体" w:hAnsi="宋体"/>
          <w:szCs w:val="21"/>
        </w:rPr>
        <w:t>兼营（产）：</w:t>
      </w:r>
    </w:p>
    <w:p w14:paraId="562E4C80">
      <w:pPr>
        <w:spacing w:line="360" w:lineRule="auto"/>
        <w:ind w:firstLine="840" w:firstLineChars="400"/>
        <w:rPr>
          <w:rFonts w:ascii="宋体" w:hAnsi="宋体"/>
          <w:szCs w:val="21"/>
        </w:rPr>
      </w:pPr>
      <w:r>
        <w:rPr>
          <w:rFonts w:ascii="宋体" w:hAnsi="宋体"/>
          <w:szCs w:val="21"/>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4968240" cy="1452880"/>
                <wp:effectExtent l="4445" t="4445" r="5715" b="15875"/>
                <wp:wrapNone/>
                <wp:docPr id="2" name="组合 1029"/>
                <wp:cNvGraphicFramePr/>
                <a:graphic xmlns:a="http://schemas.openxmlformats.org/drawingml/2006/main">
                  <a:graphicData uri="http://schemas.microsoft.com/office/word/2010/wordprocessingGroup">
                    <wpg:wgp>
                      <wpg:cNvGrpSpPr/>
                      <wpg:grpSpPr>
                        <a:xfrm>
                          <a:off x="0" y="0"/>
                          <a:ext cx="4968240" cy="1452880"/>
                          <a:chOff x="1146" y="7566"/>
                          <a:chExt cx="8717" cy="2609"/>
                        </a:xfrm>
                        <a:effectLst/>
                      </wpg:grpSpPr>
                      <wps:wsp>
                        <wps:cNvPr id="3" name="矩形 1030"/>
                        <wps:cNvSpPr>
                          <a:spLocks noChangeArrowheads="1"/>
                        </wps:cNvSpPr>
                        <wps:spPr bwMode="auto">
                          <a:xfrm>
                            <a:off x="1146" y="7566"/>
                            <a:ext cx="4166" cy="2609"/>
                          </a:xfrm>
                          <a:prstGeom prst="rect">
                            <a:avLst/>
                          </a:prstGeom>
                          <a:solidFill>
                            <a:srgbClr val="FFFFFF"/>
                          </a:solidFill>
                          <a:ln w="9525">
                            <a:solidFill>
                              <a:srgbClr val="000000"/>
                            </a:solidFill>
                            <a:miter lim="200000"/>
                          </a:ln>
                          <a:effectLst/>
                        </wps:spPr>
                        <wps:txbx>
                          <w:txbxContent>
                            <w:p w14:paraId="468FFA44">
                              <w:pPr>
                                <w:jc w:val="center"/>
                              </w:pPr>
                              <w:r>
                                <w:rPr>
                                  <w:rFonts w:hint="eastAsia"/>
                                </w:rPr>
                                <w:t>身份证（正面）</w:t>
                              </w:r>
                            </w:p>
                            <w:p w14:paraId="0AE9BFD8">
                              <w:pPr>
                                <w:ind w:firstLine="1050" w:firstLineChars="500"/>
                              </w:pPr>
                            </w:p>
                          </w:txbxContent>
                        </wps:txbx>
                        <wps:bodyPr rot="0" vert="horz" wrap="square" lIns="91440" tIns="45720" rIns="91440" bIns="45720" anchor="t" anchorCtr="0" upright="1">
                          <a:noAutofit/>
                        </wps:bodyPr>
                      </wps:wsp>
                      <wps:wsp>
                        <wps:cNvPr id="4" name="矩形 1031"/>
                        <wps:cNvSpPr>
                          <a:spLocks noChangeArrowheads="1"/>
                        </wps:cNvSpPr>
                        <wps:spPr bwMode="auto">
                          <a:xfrm>
                            <a:off x="5719" y="7566"/>
                            <a:ext cx="4144" cy="2609"/>
                          </a:xfrm>
                          <a:prstGeom prst="rect">
                            <a:avLst/>
                          </a:prstGeom>
                          <a:solidFill>
                            <a:srgbClr val="FFFFFF"/>
                          </a:solidFill>
                          <a:ln w="9525">
                            <a:solidFill>
                              <a:srgbClr val="000000"/>
                            </a:solidFill>
                            <a:miter lim="200000"/>
                          </a:ln>
                          <a:effectLst/>
                        </wps:spPr>
                        <wps:txbx>
                          <w:txbxContent>
                            <w:p w14:paraId="426759FA">
                              <w:pPr>
                                <w:jc w:val="center"/>
                              </w:pPr>
                              <w:r>
                                <w:rPr>
                                  <w:rFonts w:hint="eastAsia"/>
                                </w:rPr>
                                <w:t>身份证（反面）</w:t>
                              </w:r>
                            </w:p>
                            <w:p w14:paraId="03858D72">
                              <w:pPr>
                                <w:ind w:firstLine="1050" w:firstLineChars="500"/>
                              </w:pPr>
                            </w:p>
                          </w:txbxContent>
                        </wps:txbx>
                        <wps:bodyPr rot="0" vert="horz" wrap="square" lIns="91440" tIns="45720" rIns="91440" bIns="45720" anchor="t" anchorCtr="0" upright="1">
                          <a:noAutofit/>
                        </wps:bodyPr>
                      </wps:wsp>
                    </wpg:wgp>
                  </a:graphicData>
                </a:graphic>
              </wp:anchor>
            </w:drawing>
          </mc:Choice>
          <mc:Fallback>
            <w:pict>
              <v:group id="组合 1029" o:spid="_x0000_s1026" o:spt="203" style="position:absolute;left:0pt;margin-left:3.3pt;margin-top:19.2pt;height:114.4pt;width:391.2pt;z-index:251660288;mso-width-relative:page;mso-height-relative:page;" coordorigin="1146,7566" coordsize="8717,2609" o:gfxdata="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DLgjldkAAAAIAQAADwAAAAAAAAABACAAAAAiAAAAZHJzL2Rvd25yZXYueG1s&#10;UEsBAhQAFAAAAAgAh07iQO9nFh3bAgAAfAgAAA4AAAAAAAAAAQAgAAAAKAEAAGRycy9lMm9Eb2Mu&#10;eG1sUEsFBgAAAAAGAAYAWQEAAHUGAAAAAA==&#10;">
                <o:lock v:ext="edit" aspectratio="f"/>
                <v:rect id="矩形 1030" o:spid="_x0000_s1026" o:spt="1" style="position:absolute;left:1146;top:7566;height:2609;width:4166;" fillcolor="#FFFFFF" filled="t" stroked="t" coordsize="21600,21600" o:gfxdata="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g1Uvm8AAAA&#10;2gAAAA8AAAAAAAAAAQAgAAAAIgAAAGRycy9kb3ducmV2LnhtbFBLAQIUABQAAAAIAIdO4kAzLwWe&#10;OwAAADkAAAAQAAAAAAAAAAEAIAAAAAsBAABkcnMvc2hhcGV4bWwueG1sUEsFBgAAAAAGAAYAWwEA&#10;ALUDAAAAAA==&#10;">
                  <v:fill on="t" focussize="0,0"/>
                  <v:stroke color="#000000" miterlimit="2" joinstyle="miter"/>
                  <v:imagedata o:title=""/>
                  <o:lock v:ext="edit" aspectratio="f"/>
                  <v:textbox>
                    <w:txbxContent>
                      <w:p w14:paraId="468FFA44">
                        <w:pPr>
                          <w:jc w:val="center"/>
                        </w:pPr>
                        <w:r>
                          <w:rPr>
                            <w:rFonts w:hint="eastAsia"/>
                          </w:rPr>
                          <w:t>身份证（正面）</w:t>
                        </w:r>
                      </w:p>
                      <w:p w14:paraId="0AE9BFD8">
                        <w:pPr>
                          <w:ind w:firstLine="1050" w:firstLineChars="500"/>
                        </w:pPr>
                      </w:p>
                    </w:txbxContent>
                  </v:textbox>
                </v:rect>
                <v:rect id="矩形 1031" o:spid="_x0000_s1026" o:spt="1" style="position:absolute;left:5719;top:7566;height:2609;width:4144;" fillcolor="#FFFFFF" filled="t" stroked="t" coordsize="21600,21600" o:gfxdata="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fcyo28AAAA&#10;2gAAAA8AAAAAAAAAAQAgAAAAIgAAAGRycy9kb3ducmV2LnhtbFBLAQIUABQAAAAIAIdO4kAzLwWe&#10;OwAAADkAAAAQAAAAAAAAAAEAIAAAAAsBAABkcnMvc2hhcGV4bWwueG1sUEsFBgAAAAAGAAYAWwEA&#10;ALUDAAAAAA==&#10;">
                  <v:fill on="t" focussize="0,0"/>
                  <v:stroke color="#000000" miterlimit="2" joinstyle="miter"/>
                  <v:imagedata o:title=""/>
                  <o:lock v:ext="edit" aspectratio="f"/>
                  <v:textbox>
                    <w:txbxContent>
                      <w:p w14:paraId="426759FA">
                        <w:pPr>
                          <w:jc w:val="center"/>
                        </w:pPr>
                        <w:r>
                          <w:rPr>
                            <w:rFonts w:hint="eastAsia"/>
                          </w:rPr>
                          <w:t>身份证（反面）</w:t>
                        </w:r>
                      </w:p>
                      <w:p w14:paraId="03858D72">
                        <w:pPr>
                          <w:ind w:firstLine="1050" w:firstLineChars="500"/>
                        </w:pPr>
                      </w:p>
                    </w:txbxContent>
                  </v:textbox>
                </v:rect>
              </v:group>
            </w:pict>
          </mc:Fallback>
        </mc:AlternateContent>
      </w:r>
    </w:p>
    <w:p w14:paraId="2BB612FF">
      <w:pPr>
        <w:spacing w:line="360" w:lineRule="auto"/>
        <w:rPr>
          <w:rFonts w:ascii="宋体" w:hAnsi="宋体"/>
          <w:b/>
          <w:bCs/>
          <w:szCs w:val="21"/>
        </w:rPr>
      </w:pPr>
    </w:p>
    <w:p w14:paraId="3A53701F">
      <w:pPr>
        <w:spacing w:line="360" w:lineRule="auto"/>
        <w:rPr>
          <w:rFonts w:ascii="宋体" w:hAnsi="宋体"/>
          <w:b/>
          <w:bCs/>
          <w:szCs w:val="21"/>
        </w:rPr>
      </w:pPr>
    </w:p>
    <w:p w14:paraId="7284E131">
      <w:pPr>
        <w:spacing w:line="360" w:lineRule="auto"/>
        <w:rPr>
          <w:rFonts w:ascii="宋体" w:hAnsi="宋体"/>
          <w:b/>
          <w:bCs/>
        </w:rPr>
      </w:pPr>
    </w:p>
    <w:p w14:paraId="3938D3EE">
      <w:pPr>
        <w:spacing w:line="360" w:lineRule="auto"/>
        <w:rPr>
          <w:rFonts w:ascii="宋体" w:hAnsi="宋体"/>
          <w:b/>
          <w:bCs/>
        </w:rPr>
      </w:pPr>
    </w:p>
    <w:p w14:paraId="11177DAA">
      <w:pPr>
        <w:spacing w:line="360" w:lineRule="auto"/>
        <w:rPr>
          <w:rFonts w:ascii="宋体" w:hAnsi="宋体"/>
          <w:b/>
          <w:bCs/>
        </w:rPr>
      </w:pPr>
    </w:p>
    <w:p w14:paraId="49ED8C6E">
      <w:pPr>
        <w:spacing w:line="360" w:lineRule="auto"/>
        <w:rPr>
          <w:rFonts w:ascii="宋体" w:hAnsi="宋体"/>
          <w:b/>
          <w:bCs/>
        </w:rPr>
      </w:pPr>
    </w:p>
    <w:p w14:paraId="67CC90A6">
      <w:pPr>
        <w:spacing w:line="360" w:lineRule="auto"/>
        <w:rPr>
          <w:rFonts w:ascii="宋体" w:hAnsi="宋体"/>
          <w:b/>
          <w:bCs/>
        </w:rPr>
      </w:pPr>
      <w:r>
        <w:rPr>
          <w:rFonts w:hint="eastAsia" w:ascii="宋体" w:hAnsi="宋体"/>
          <w:b/>
          <w:bCs/>
        </w:rPr>
        <w:t xml:space="preserve">                         </w:t>
      </w:r>
    </w:p>
    <w:p w14:paraId="04FBBA7E">
      <w:pPr>
        <w:spacing w:line="360" w:lineRule="auto"/>
        <w:rPr>
          <w:rFonts w:ascii="宋体" w:hAnsi="宋体"/>
          <w:szCs w:val="21"/>
        </w:rPr>
      </w:pPr>
      <w:r>
        <w:rPr>
          <w:rFonts w:hint="eastAsia" w:ascii="宋体" w:hAnsi="宋体"/>
          <w:b/>
          <w:bCs/>
        </w:rPr>
        <w:t xml:space="preserve">                                </w:t>
      </w:r>
      <w:r>
        <w:rPr>
          <w:rFonts w:hint="eastAsia" w:ascii="宋体" w:hAnsi="宋体"/>
          <w:b/>
          <w:bCs/>
          <w:szCs w:val="21"/>
        </w:rPr>
        <w:t xml:space="preserve">            </w:t>
      </w:r>
      <w:r>
        <w:rPr>
          <w:rFonts w:hint="eastAsia" w:ascii="宋体" w:hAnsi="宋体"/>
          <w:szCs w:val="21"/>
        </w:rPr>
        <w:t>供应商名称：（盖公章）：</w:t>
      </w:r>
    </w:p>
    <w:p w14:paraId="7601C59E">
      <w:pPr>
        <w:spacing w:line="360" w:lineRule="auto"/>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地址：</w:t>
      </w:r>
    </w:p>
    <w:p w14:paraId="5B930C25">
      <w:pPr>
        <w:spacing w:line="360" w:lineRule="auto"/>
        <w:rPr>
          <w:rFonts w:hint="eastAsia"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日期：</w:t>
      </w:r>
    </w:p>
    <w:p w14:paraId="42661795">
      <w:pPr>
        <w:rPr>
          <w:rFonts w:hint="eastAsia" w:ascii="宋体" w:hAnsi="宋体"/>
          <w:szCs w:val="21"/>
        </w:rPr>
      </w:pPr>
      <w:r>
        <w:rPr>
          <w:rFonts w:hint="eastAsia" w:ascii="宋体" w:hAnsi="宋体"/>
          <w:szCs w:val="21"/>
        </w:rPr>
        <w:br w:type="page"/>
      </w:r>
    </w:p>
    <w:p w14:paraId="34C2F582">
      <w:pPr>
        <w:pStyle w:val="3"/>
        <w:numPr>
          <w:ilvl w:val="0"/>
          <w:numId w:val="0"/>
        </w:numPr>
        <w:tabs>
          <w:tab w:val="left" w:pos="1259"/>
        </w:tabs>
        <w:jc w:val="center"/>
        <w:rPr>
          <w:rFonts w:ascii="宋体" w:hAnsi="宋体" w:cs="宋体"/>
          <w:sz w:val="32"/>
          <w:szCs w:val="32"/>
        </w:rPr>
      </w:pPr>
      <w:bookmarkStart w:id="2" w:name="_Hlk58414374"/>
      <w:bookmarkStart w:id="3" w:name="_Hlk58414491"/>
      <w:r>
        <w:rPr>
          <w:rFonts w:hint="eastAsia" w:ascii="宋体" w:hAnsi="宋体" w:cs="宋体"/>
          <w:sz w:val="32"/>
          <w:szCs w:val="32"/>
        </w:rPr>
        <w:t>广东省广裕集团阳春实业有限公司供应商管理规则（试行）承诺函</w:t>
      </w:r>
      <w:bookmarkEnd w:id="2"/>
    </w:p>
    <w:bookmarkEnd w:id="3"/>
    <w:p w14:paraId="36515518">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为保障平台采购工作的严肃性以及严谨性，若供应商在参与</w:t>
      </w:r>
      <w:r>
        <w:rPr>
          <w:rFonts w:hint="eastAsia" w:ascii="宋体" w:hAnsi="宋体" w:cs="宋体"/>
          <w:color w:val="000000"/>
          <w:kern w:val="0"/>
          <w:szCs w:val="21"/>
          <w:lang w:eastAsia="zh-CN"/>
        </w:rPr>
        <w:t>广东省广裕集团阳春实业有限公司</w:t>
      </w:r>
      <w:r>
        <w:rPr>
          <w:rFonts w:hint="eastAsia" w:ascii="宋体" w:hAnsi="宋体" w:cs="宋体"/>
          <w:color w:val="000000"/>
          <w:kern w:val="0"/>
          <w:szCs w:val="21"/>
        </w:rPr>
        <w:t>线上采购一体化平台采购活动时，出现下述情况，平台有权将其列入黑名单处理。</w:t>
      </w:r>
    </w:p>
    <w:tbl>
      <w:tblPr>
        <w:tblStyle w:val="26"/>
        <w:tblW w:w="8546"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0"/>
        <w:gridCol w:w="7686"/>
      </w:tblGrid>
      <w:tr w14:paraId="02241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860" w:type="dxa"/>
            <w:tcMar>
              <w:top w:w="0" w:type="dxa"/>
              <w:left w:w="105" w:type="dxa"/>
              <w:bottom w:w="0" w:type="dxa"/>
              <w:right w:w="105" w:type="dxa"/>
            </w:tcMar>
            <w:vAlign w:val="center"/>
          </w:tcPr>
          <w:p w14:paraId="693A3D87">
            <w:pPr>
              <w:keepNext w:val="0"/>
              <w:keepLines w:val="0"/>
              <w:widowControl/>
              <w:suppressLineNumbers w:val="0"/>
              <w:spacing w:before="0" w:beforeAutospacing="0" w:after="0" w:afterAutospacing="0" w:line="360" w:lineRule="auto"/>
              <w:ind w:left="0" w:right="0"/>
              <w:jc w:val="center"/>
              <w:rPr>
                <w:rFonts w:hint="default" w:ascii="宋体" w:hAnsi="宋体" w:cs="宋体"/>
                <w:b/>
                <w:color w:val="000000"/>
                <w:kern w:val="0"/>
                <w:szCs w:val="21"/>
              </w:rPr>
            </w:pPr>
            <w:r>
              <w:rPr>
                <w:rFonts w:hint="eastAsia" w:ascii="宋体" w:hAnsi="宋体" w:cs="宋体"/>
                <w:b/>
                <w:color w:val="000000"/>
                <w:kern w:val="0"/>
                <w:szCs w:val="21"/>
              </w:rPr>
              <w:t>序号</w:t>
            </w:r>
          </w:p>
        </w:tc>
        <w:tc>
          <w:tcPr>
            <w:tcW w:w="7686" w:type="dxa"/>
            <w:tcMar>
              <w:top w:w="0" w:type="dxa"/>
              <w:left w:w="105" w:type="dxa"/>
              <w:bottom w:w="0" w:type="dxa"/>
              <w:right w:w="105" w:type="dxa"/>
            </w:tcMar>
            <w:vAlign w:val="center"/>
          </w:tcPr>
          <w:p w14:paraId="7A574CA4">
            <w:pPr>
              <w:keepNext w:val="0"/>
              <w:keepLines w:val="0"/>
              <w:widowControl/>
              <w:suppressLineNumbers w:val="0"/>
              <w:spacing w:before="0" w:beforeAutospacing="0" w:after="0" w:afterAutospacing="0" w:line="360" w:lineRule="auto"/>
              <w:ind w:left="0" w:right="0"/>
              <w:jc w:val="center"/>
              <w:rPr>
                <w:rFonts w:hint="default" w:ascii="宋体" w:hAnsi="宋体" w:cs="宋体"/>
                <w:b/>
                <w:color w:val="000000"/>
                <w:kern w:val="0"/>
                <w:szCs w:val="21"/>
              </w:rPr>
            </w:pPr>
            <w:r>
              <w:rPr>
                <w:rFonts w:hint="eastAsia" w:ascii="宋体" w:hAnsi="宋体" w:cs="宋体"/>
                <w:b/>
                <w:color w:val="000000"/>
                <w:kern w:val="0"/>
                <w:szCs w:val="21"/>
              </w:rPr>
              <w:t>条 款</w:t>
            </w:r>
          </w:p>
        </w:tc>
      </w:tr>
      <w:tr w14:paraId="00BFF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860" w:type="dxa"/>
            <w:tcMar>
              <w:top w:w="0" w:type="dxa"/>
              <w:left w:w="105" w:type="dxa"/>
              <w:bottom w:w="0" w:type="dxa"/>
              <w:right w:w="105" w:type="dxa"/>
            </w:tcMar>
            <w:vAlign w:val="center"/>
          </w:tcPr>
          <w:p w14:paraId="3ED179DB">
            <w:pPr>
              <w:keepNext w:val="0"/>
              <w:keepLines w:val="0"/>
              <w:widowControl/>
              <w:suppressLineNumbers w:val="0"/>
              <w:spacing w:before="0" w:beforeAutospacing="0" w:after="0" w:afterAutospacing="0" w:line="360" w:lineRule="auto"/>
              <w:ind w:left="0" w:right="0"/>
              <w:jc w:val="center"/>
              <w:rPr>
                <w:rFonts w:hint="default" w:ascii="宋体" w:hAnsi="宋体" w:cs="宋体"/>
                <w:color w:val="000000"/>
                <w:kern w:val="0"/>
                <w:szCs w:val="21"/>
              </w:rPr>
            </w:pPr>
            <w:r>
              <w:rPr>
                <w:rFonts w:hint="eastAsia" w:ascii="宋体" w:hAnsi="宋体" w:cs="宋体"/>
                <w:color w:val="000000"/>
                <w:kern w:val="0"/>
                <w:szCs w:val="21"/>
              </w:rPr>
              <w:t>1</w:t>
            </w:r>
          </w:p>
        </w:tc>
        <w:tc>
          <w:tcPr>
            <w:tcW w:w="7686" w:type="dxa"/>
            <w:tcMar>
              <w:top w:w="0" w:type="dxa"/>
              <w:left w:w="105" w:type="dxa"/>
              <w:bottom w:w="0" w:type="dxa"/>
              <w:right w:w="105" w:type="dxa"/>
            </w:tcMar>
            <w:vAlign w:val="center"/>
          </w:tcPr>
          <w:p w14:paraId="053C98D6">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kern w:val="0"/>
                <w:szCs w:val="21"/>
              </w:rPr>
            </w:pPr>
            <w:r>
              <w:rPr>
                <w:rFonts w:hint="eastAsia" w:ascii="宋体" w:hAnsi="宋体" w:cs="宋体"/>
                <w:color w:val="000000"/>
                <w:kern w:val="0"/>
                <w:szCs w:val="21"/>
              </w:rPr>
              <w:t>供应商因报价不严肃（包含但不限于报价随意等情况）、不严谨（包含但不限于个别采购内容漏报价、合计金额超过项目最高限价等情况）、恶意报价从而影响采购工作正常进度；</w:t>
            </w:r>
          </w:p>
        </w:tc>
      </w:tr>
      <w:tr w14:paraId="722B8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860" w:type="dxa"/>
            <w:tcMar>
              <w:top w:w="0" w:type="dxa"/>
              <w:left w:w="105" w:type="dxa"/>
              <w:bottom w:w="0" w:type="dxa"/>
              <w:right w:w="105" w:type="dxa"/>
            </w:tcMar>
            <w:vAlign w:val="center"/>
          </w:tcPr>
          <w:p w14:paraId="609E7C4C">
            <w:pPr>
              <w:keepNext w:val="0"/>
              <w:keepLines w:val="0"/>
              <w:widowControl/>
              <w:suppressLineNumbers w:val="0"/>
              <w:spacing w:before="0" w:beforeAutospacing="0" w:after="0" w:afterAutospacing="0" w:line="360" w:lineRule="auto"/>
              <w:ind w:left="0" w:right="0"/>
              <w:jc w:val="center"/>
              <w:rPr>
                <w:rFonts w:hint="default" w:ascii="宋体" w:hAnsi="宋体" w:cs="宋体"/>
                <w:color w:val="000000"/>
                <w:kern w:val="0"/>
                <w:szCs w:val="21"/>
              </w:rPr>
            </w:pPr>
            <w:r>
              <w:rPr>
                <w:rFonts w:hint="eastAsia" w:ascii="宋体" w:hAnsi="宋体" w:cs="宋体"/>
                <w:color w:val="000000"/>
                <w:kern w:val="0"/>
                <w:szCs w:val="21"/>
              </w:rPr>
              <w:t>2</w:t>
            </w:r>
          </w:p>
        </w:tc>
        <w:tc>
          <w:tcPr>
            <w:tcW w:w="7686" w:type="dxa"/>
            <w:tcMar>
              <w:top w:w="0" w:type="dxa"/>
              <w:left w:w="105" w:type="dxa"/>
              <w:bottom w:w="0" w:type="dxa"/>
              <w:right w:w="105" w:type="dxa"/>
            </w:tcMar>
            <w:vAlign w:val="center"/>
          </w:tcPr>
          <w:p w14:paraId="3B13658C">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kern w:val="0"/>
                <w:szCs w:val="21"/>
              </w:rPr>
            </w:pPr>
            <w:r>
              <w:rPr>
                <w:rFonts w:hint="eastAsia" w:ascii="宋体" w:hAnsi="宋体" w:cs="宋体"/>
                <w:color w:val="000000"/>
                <w:kern w:val="0"/>
                <w:szCs w:val="21"/>
              </w:rPr>
              <w:t>供应商未合理报价，提交的报价与实际市场价格差异大；（供应商能以该成交价格正常履行合同以及所供货物/服务/工程满足竞价文件要求的情况除外）</w:t>
            </w:r>
          </w:p>
        </w:tc>
      </w:tr>
      <w:tr w14:paraId="7BBAD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860" w:type="dxa"/>
            <w:tcMar>
              <w:top w:w="0" w:type="dxa"/>
              <w:left w:w="105" w:type="dxa"/>
              <w:bottom w:w="0" w:type="dxa"/>
              <w:right w:w="105" w:type="dxa"/>
            </w:tcMar>
            <w:vAlign w:val="center"/>
          </w:tcPr>
          <w:p w14:paraId="0BDD0862">
            <w:pPr>
              <w:keepNext w:val="0"/>
              <w:keepLines w:val="0"/>
              <w:widowControl/>
              <w:suppressLineNumbers w:val="0"/>
              <w:spacing w:before="0" w:beforeAutospacing="0" w:after="0" w:afterAutospacing="0" w:line="360" w:lineRule="auto"/>
              <w:ind w:left="0" w:right="0"/>
              <w:jc w:val="center"/>
              <w:rPr>
                <w:rFonts w:hint="default" w:ascii="宋体" w:hAnsi="宋体" w:cs="宋体"/>
                <w:color w:val="000000"/>
                <w:kern w:val="0"/>
                <w:szCs w:val="21"/>
              </w:rPr>
            </w:pPr>
            <w:r>
              <w:rPr>
                <w:rFonts w:hint="eastAsia" w:ascii="宋体" w:hAnsi="宋体" w:cs="宋体"/>
                <w:color w:val="000000"/>
                <w:kern w:val="0"/>
                <w:szCs w:val="21"/>
              </w:rPr>
              <w:t>3</w:t>
            </w:r>
          </w:p>
        </w:tc>
        <w:tc>
          <w:tcPr>
            <w:tcW w:w="7686" w:type="dxa"/>
            <w:tcMar>
              <w:top w:w="0" w:type="dxa"/>
              <w:left w:w="105" w:type="dxa"/>
              <w:bottom w:w="0" w:type="dxa"/>
              <w:right w:w="105" w:type="dxa"/>
            </w:tcMar>
            <w:vAlign w:val="center"/>
          </w:tcPr>
          <w:p w14:paraId="3997483B">
            <w:pPr>
              <w:keepNext w:val="0"/>
              <w:keepLines w:val="0"/>
              <w:widowControl/>
              <w:suppressLineNumbers w:val="0"/>
              <w:spacing w:before="0" w:beforeAutospacing="0" w:after="0" w:afterAutospacing="0" w:line="360" w:lineRule="auto"/>
              <w:ind w:left="0" w:right="0"/>
              <w:rPr>
                <w:rFonts w:hint="default" w:ascii="宋体" w:hAnsi="宋体" w:cs="宋体"/>
                <w:color w:val="000000"/>
                <w:kern w:val="0"/>
                <w:szCs w:val="21"/>
              </w:rPr>
            </w:pPr>
            <w:r>
              <w:rPr>
                <w:rFonts w:hint="eastAsia" w:ascii="宋体" w:hAnsi="宋体" w:cs="宋体"/>
                <w:color w:val="000000"/>
                <w:kern w:val="0"/>
                <w:szCs w:val="21"/>
              </w:rPr>
              <w:t>提供的货物的采购价格超过市场价格；</w:t>
            </w:r>
          </w:p>
        </w:tc>
      </w:tr>
      <w:tr w14:paraId="54B08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860" w:type="dxa"/>
            <w:tcMar>
              <w:top w:w="0" w:type="dxa"/>
              <w:left w:w="105" w:type="dxa"/>
              <w:bottom w:w="0" w:type="dxa"/>
              <w:right w:w="105" w:type="dxa"/>
            </w:tcMar>
            <w:vAlign w:val="center"/>
          </w:tcPr>
          <w:p w14:paraId="49848BBB">
            <w:pPr>
              <w:keepNext w:val="0"/>
              <w:keepLines w:val="0"/>
              <w:widowControl/>
              <w:suppressLineNumbers w:val="0"/>
              <w:spacing w:before="0" w:beforeAutospacing="0" w:after="0" w:afterAutospacing="0" w:line="360" w:lineRule="auto"/>
              <w:ind w:left="0" w:right="0"/>
              <w:jc w:val="center"/>
              <w:rPr>
                <w:rFonts w:hint="default" w:ascii="宋体" w:hAnsi="宋体" w:cs="宋体"/>
                <w:color w:val="000000"/>
                <w:kern w:val="0"/>
                <w:szCs w:val="21"/>
              </w:rPr>
            </w:pPr>
            <w:r>
              <w:rPr>
                <w:rFonts w:hint="default" w:ascii="宋体" w:hAnsi="宋体" w:cs="宋体"/>
                <w:color w:val="000000"/>
                <w:kern w:val="0"/>
                <w:szCs w:val="21"/>
              </w:rPr>
              <w:t>4</w:t>
            </w:r>
          </w:p>
        </w:tc>
        <w:tc>
          <w:tcPr>
            <w:tcW w:w="7686" w:type="dxa"/>
            <w:tcMar>
              <w:top w:w="0" w:type="dxa"/>
              <w:left w:w="105" w:type="dxa"/>
              <w:bottom w:w="0" w:type="dxa"/>
              <w:right w:w="105" w:type="dxa"/>
            </w:tcMar>
            <w:vAlign w:val="center"/>
          </w:tcPr>
          <w:p w14:paraId="7CF16B5B">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kern w:val="0"/>
                <w:szCs w:val="21"/>
              </w:rPr>
            </w:pPr>
            <w:r>
              <w:rPr>
                <w:rFonts w:hint="eastAsia" w:ascii="宋体" w:hAnsi="宋体" w:cs="宋体"/>
                <w:color w:val="000000"/>
                <w:kern w:val="0"/>
                <w:szCs w:val="21"/>
              </w:rPr>
              <w:t>供应商应按采购人用户需求中所要求的型号、参数等条件准确提交报价表。若供应商所供产品与采购人需求存在偏差，须在报价表中备注位置详细注明另报产品的名称、品牌、规格型号、技术指标、服务等有利于采购人判别供应商所供产品是否适用于项目的内容，且供应商须保证该产品能满足采购人正常生产使用；</w:t>
            </w:r>
          </w:p>
        </w:tc>
      </w:tr>
      <w:tr w14:paraId="405E8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860" w:type="dxa"/>
            <w:tcMar>
              <w:top w:w="0" w:type="dxa"/>
              <w:left w:w="105" w:type="dxa"/>
              <w:bottom w:w="0" w:type="dxa"/>
              <w:right w:w="105" w:type="dxa"/>
            </w:tcMar>
            <w:vAlign w:val="center"/>
          </w:tcPr>
          <w:p w14:paraId="143FA21E">
            <w:pPr>
              <w:keepNext w:val="0"/>
              <w:keepLines w:val="0"/>
              <w:widowControl/>
              <w:suppressLineNumbers w:val="0"/>
              <w:spacing w:before="0" w:beforeAutospacing="0" w:after="0" w:afterAutospacing="0" w:line="360" w:lineRule="auto"/>
              <w:ind w:left="0" w:right="0"/>
              <w:jc w:val="center"/>
              <w:rPr>
                <w:rFonts w:hint="default" w:ascii="宋体" w:hAnsi="宋体" w:cs="宋体"/>
                <w:color w:val="000000"/>
                <w:kern w:val="0"/>
                <w:szCs w:val="21"/>
              </w:rPr>
            </w:pPr>
            <w:r>
              <w:rPr>
                <w:rFonts w:hint="default" w:ascii="宋体" w:hAnsi="宋体" w:cs="宋体"/>
                <w:color w:val="000000"/>
                <w:kern w:val="0"/>
                <w:szCs w:val="21"/>
              </w:rPr>
              <w:t>5</w:t>
            </w:r>
          </w:p>
        </w:tc>
        <w:tc>
          <w:tcPr>
            <w:tcW w:w="7686" w:type="dxa"/>
            <w:tcMar>
              <w:top w:w="0" w:type="dxa"/>
              <w:left w:w="105" w:type="dxa"/>
              <w:bottom w:w="0" w:type="dxa"/>
              <w:right w:w="105" w:type="dxa"/>
            </w:tcMar>
            <w:vAlign w:val="center"/>
          </w:tcPr>
          <w:p w14:paraId="683B2745">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kern w:val="0"/>
                <w:szCs w:val="21"/>
              </w:rPr>
            </w:pPr>
            <w:r>
              <w:rPr>
                <w:rFonts w:hint="eastAsia" w:ascii="宋体" w:hAnsi="宋体" w:cs="宋体"/>
                <w:color w:val="000000"/>
                <w:kern w:val="0"/>
                <w:szCs w:val="21"/>
              </w:rPr>
              <w:t>供应商无正当理由（不可抗力）放弃成交资格；</w:t>
            </w:r>
          </w:p>
        </w:tc>
      </w:tr>
      <w:tr w14:paraId="02120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860" w:type="dxa"/>
            <w:tcMar>
              <w:top w:w="0" w:type="dxa"/>
              <w:left w:w="105" w:type="dxa"/>
              <w:bottom w:w="0" w:type="dxa"/>
              <w:right w:w="105" w:type="dxa"/>
            </w:tcMar>
            <w:vAlign w:val="center"/>
          </w:tcPr>
          <w:p w14:paraId="04B2A300">
            <w:pPr>
              <w:keepNext w:val="0"/>
              <w:keepLines w:val="0"/>
              <w:widowControl/>
              <w:suppressLineNumbers w:val="0"/>
              <w:spacing w:before="0" w:beforeAutospacing="0" w:after="0" w:afterAutospacing="0" w:line="360" w:lineRule="auto"/>
              <w:ind w:left="0" w:right="0"/>
              <w:jc w:val="center"/>
              <w:rPr>
                <w:rFonts w:hint="default" w:ascii="宋体" w:hAnsi="宋体" w:cs="宋体"/>
                <w:color w:val="000000"/>
                <w:kern w:val="0"/>
                <w:szCs w:val="21"/>
              </w:rPr>
            </w:pPr>
            <w:r>
              <w:rPr>
                <w:rFonts w:hint="default" w:ascii="宋体" w:hAnsi="宋体" w:cs="宋体"/>
                <w:color w:val="000000"/>
                <w:kern w:val="0"/>
                <w:szCs w:val="21"/>
              </w:rPr>
              <w:t>6</w:t>
            </w:r>
          </w:p>
        </w:tc>
        <w:tc>
          <w:tcPr>
            <w:tcW w:w="7686" w:type="dxa"/>
            <w:tcMar>
              <w:top w:w="0" w:type="dxa"/>
              <w:left w:w="105" w:type="dxa"/>
              <w:bottom w:w="0" w:type="dxa"/>
              <w:right w:w="105" w:type="dxa"/>
            </w:tcMar>
            <w:vAlign w:val="center"/>
          </w:tcPr>
          <w:p w14:paraId="5423F244">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kern w:val="0"/>
                <w:szCs w:val="21"/>
              </w:rPr>
            </w:pPr>
            <w:r>
              <w:rPr>
                <w:rFonts w:hint="eastAsia" w:ascii="宋体" w:hAnsi="宋体" w:cs="宋体"/>
                <w:color w:val="000000"/>
                <w:kern w:val="0"/>
                <w:szCs w:val="21"/>
              </w:rPr>
              <w:t>供应商无正当理由（不可抗力）不执行已成交的项目的；</w:t>
            </w:r>
          </w:p>
        </w:tc>
      </w:tr>
      <w:tr w14:paraId="72956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 w:hRule="atLeast"/>
          <w:tblCellSpacing w:w="0" w:type="dxa"/>
          <w:jc w:val="center"/>
        </w:trPr>
        <w:tc>
          <w:tcPr>
            <w:tcW w:w="860" w:type="dxa"/>
            <w:tcMar>
              <w:top w:w="0" w:type="dxa"/>
              <w:left w:w="105" w:type="dxa"/>
              <w:bottom w:w="0" w:type="dxa"/>
              <w:right w:w="105" w:type="dxa"/>
            </w:tcMar>
            <w:vAlign w:val="center"/>
          </w:tcPr>
          <w:p w14:paraId="09C4BD4C">
            <w:pPr>
              <w:keepNext w:val="0"/>
              <w:keepLines w:val="0"/>
              <w:widowControl/>
              <w:suppressLineNumbers w:val="0"/>
              <w:spacing w:before="0" w:beforeAutospacing="0" w:after="0" w:afterAutospacing="0" w:line="360" w:lineRule="auto"/>
              <w:ind w:left="0" w:right="0"/>
              <w:jc w:val="center"/>
              <w:rPr>
                <w:rFonts w:hint="default" w:ascii="宋体" w:hAnsi="宋体" w:cs="宋体"/>
                <w:color w:val="000000"/>
                <w:kern w:val="0"/>
                <w:szCs w:val="21"/>
              </w:rPr>
            </w:pPr>
            <w:r>
              <w:rPr>
                <w:rFonts w:hint="default" w:ascii="宋体" w:hAnsi="宋体" w:cs="宋体"/>
                <w:color w:val="000000"/>
                <w:kern w:val="0"/>
                <w:szCs w:val="21"/>
              </w:rPr>
              <w:t>7</w:t>
            </w:r>
          </w:p>
        </w:tc>
        <w:tc>
          <w:tcPr>
            <w:tcW w:w="7686" w:type="dxa"/>
            <w:tcMar>
              <w:top w:w="0" w:type="dxa"/>
              <w:left w:w="105" w:type="dxa"/>
              <w:bottom w:w="0" w:type="dxa"/>
              <w:right w:w="105" w:type="dxa"/>
            </w:tcMar>
            <w:vAlign w:val="center"/>
          </w:tcPr>
          <w:p w14:paraId="5B9EB512">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kern w:val="0"/>
                <w:szCs w:val="21"/>
              </w:rPr>
            </w:pPr>
            <w:r>
              <w:rPr>
                <w:rFonts w:hint="eastAsia" w:ascii="宋体" w:hAnsi="宋体" w:cs="宋体"/>
                <w:color w:val="000000"/>
                <w:kern w:val="0"/>
                <w:szCs w:val="21"/>
              </w:rPr>
              <w:t>成交合同未在成交公告之日起30自然日内签署；（如遇不可抗力情形除外）</w:t>
            </w:r>
          </w:p>
        </w:tc>
      </w:tr>
      <w:tr w14:paraId="165F6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860" w:type="dxa"/>
            <w:tcMar>
              <w:top w:w="0" w:type="dxa"/>
              <w:left w:w="105" w:type="dxa"/>
              <w:bottom w:w="0" w:type="dxa"/>
              <w:right w:w="105" w:type="dxa"/>
            </w:tcMar>
            <w:vAlign w:val="center"/>
          </w:tcPr>
          <w:p w14:paraId="68B6EA81">
            <w:pPr>
              <w:keepNext w:val="0"/>
              <w:keepLines w:val="0"/>
              <w:widowControl/>
              <w:suppressLineNumbers w:val="0"/>
              <w:spacing w:before="0" w:beforeAutospacing="0" w:after="0" w:afterAutospacing="0" w:line="360" w:lineRule="auto"/>
              <w:ind w:left="0" w:right="0"/>
              <w:jc w:val="center"/>
              <w:rPr>
                <w:rFonts w:hint="default" w:ascii="宋体" w:hAnsi="宋体" w:cs="宋体"/>
                <w:color w:val="000000"/>
                <w:kern w:val="0"/>
                <w:szCs w:val="21"/>
              </w:rPr>
            </w:pPr>
            <w:r>
              <w:rPr>
                <w:rFonts w:hint="default" w:ascii="宋体" w:hAnsi="宋体" w:cs="宋体"/>
                <w:color w:val="000000"/>
                <w:kern w:val="0"/>
                <w:szCs w:val="21"/>
              </w:rPr>
              <w:t>8</w:t>
            </w:r>
          </w:p>
        </w:tc>
        <w:tc>
          <w:tcPr>
            <w:tcW w:w="7686" w:type="dxa"/>
            <w:tcMar>
              <w:top w:w="0" w:type="dxa"/>
              <w:left w:w="105" w:type="dxa"/>
              <w:bottom w:w="0" w:type="dxa"/>
              <w:right w:w="105" w:type="dxa"/>
            </w:tcMar>
            <w:vAlign w:val="center"/>
          </w:tcPr>
          <w:p w14:paraId="4C4F398B">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kern w:val="0"/>
                <w:szCs w:val="21"/>
              </w:rPr>
            </w:pPr>
            <w:r>
              <w:rPr>
                <w:rFonts w:hint="eastAsia" w:ascii="宋体" w:hAnsi="宋体" w:cs="宋体"/>
                <w:color w:val="000000"/>
                <w:kern w:val="0"/>
                <w:szCs w:val="21"/>
              </w:rPr>
              <w:t>供应商出现不按竞价文件要求供货，提供不了原厂证明或证明作假等情况；</w:t>
            </w:r>
          </w:p>
        </w:tc>
      </w:tr>
      <w:tr w14:paraId="2836C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860" w:type="dxa"/>
            <w:tcMar>
              <w:top w:w="0" w:type="dxa"/>
              <w:left w:w="105" w:type="dxa"/>
              <w:bottom w:w="0" w:type="dxa"/>
              <w:right w:w="105" w:type="dxa"/>
            </w:tcMar>
            <w:vAlign w:val="center"/>
          </w:tcPr>
          <w:p w14:paraId="65B77D4C">
            <w:pPr>
              <w:keepNext w:val="0"/>
              <w:keepLines w:val="0"/>
              <w:widowControl/>
              <w:suppressLineNumbers w:val="0"/>
              <w:spacing w:before="0" w:beforeAutospacing="0" w:after="0" w:afterAutospacing="0" w:line="360" w:lineRule="auto"/>
              <w:ind w:left="0" w:right="0"/>
              <w:jc w:val="center"/>
              <w:rPr>
                <w:rFonts w:hint="default" w:ascii="宋体" w:hAnsi="宋体" w:cs="宋体"/>
                <w:color w:val="000000"/>
                <w:kern w:val="0"/>
                <w:szCs w:val="21"/>
              </w:rPr>
            </w:pPr>
            <w:r>
              <w:rPr>
                <w:rFonts w:hint="default" w:ascii="宋体" w:hAnsi="宋体" w:cs="宋体"/>
                <w:color w:val="000000"/>
                <w:kern w:val="0"/>
                <w:szCs w:val="21"/>
              </w:rPr>
              <w:t>9</w:t>
            </w:r>
          </w:p>
        </w:tc>
        <w:tc>
          <w:tcPr>
            <w:tcW w:w="7686" w:type="dxa"/>
            <w:tcMar>
              <w:top w:w="0" w:type="dxa"/>
              <w:left w:w="105" w:type="dxa"/>
              <w:bottom w:w="0" w:type="dxa"/>
              <w:right w:w="105" w:type="dxa"/>
            </w:tcMar>
            <w:vAlign w:val="center"/>
          </w:tcPr>
          <w:p w14:paraId="4B4EC70B">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kern w:val="0"/>
                <w:szCs w:val="21"/>
              </w:rPr>
            </w:pPr>
            <w:r>
              <w:rPr>
                <w:rFonts w:hint="eastAsia" w:ascii="宋体" w:hAnsi="宋体" w:cs="宋体"/>
                <w:color w:val="000000"/>
                <w:kern w:val="0"/>
                <w:szCs w:val="21"/>
              </w:rPr>
              <w:t>供应商在履约期间未按竞价文件的用户需求内容以及合同内容履约；（该条款包含货物、服务以及工程项目）</w:t>
            </w:r>
          </w:p>
        </w:tc>
      </w:tr>
      <w:tr w14:paraId="53B06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860" w:type="dxa"/>
            <w:tcMar>
              <w:top w:w="0" w:type="dxa"/>
              <w:left w:w="105" w:type="dxa"/>
              <w:bottom w:w="0" w:type="dxa"/>
              <w:right w:w="105" w:type="dxa"/>
            </w:tcMar>
            <w:vAlign w:val="center"/>
          </w:tcPr>
          <w:p w14:paraId="57EB129B">
            <w:pPr>
              <w:keepNext w:val="0"/>
              <w:keepLines w:val="0"/>
              <w:widowControl/>
              <w:suppressLineNumbers w:val="0"/>
              <w:spacing w:before="0" w:beforeAutospacing="0" w:after="0" w:afterAutospacing="0" w:line="360" w:lineRule="auto"/>
              <w:ind w:left="0" w:right="0"/>
              <w:jc w:val="center"/>
              <w:rPr>
                <w:rFonts w:hint="default" w:ascii="宋体" w:hAnsi="宋体" w:cs="宋体"/>
                <w:color w:val="000000"/>
                <w:kern w:val="0"/>
                <w:szCs w:val="21"/>
              </w:rPr>
            </w:pPr>
            <w:r>
              <w:rPr>
                <w:rFonts w:hint="default" w:ascii="宋体" w:hAnsi="宋体" w:cs="宋体"/>
                <w:color w:val="000000"/>
                <w:kern w:val="0"/>
                <w:szCs w:val="21"/>
              </w:rPr>
              <w:t>10</w:t>
            </w:r>
          </w:p>
        </w:tc>
        <w:tc>
          <w:tcPr>
            <w:tcW w:w="7686" w:type="dxa"/>
            <w:tcMar>
              <w:top w:w="0" w:type="dxa"/>
              <w:left w:w="105" w:type="dxa"/>
              <w:bottom w:w="0" w:type="dxa"/>
              <w:right w:w="105" w:type="dxa"/>
            </w:tcMar>
            <w:vAlign w:val="center"/>
          </w:tcPr>
          <w:p w14:paraId="70359C0C">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kern w:val="0"/>
                <w:szCs w:val="21"/>
              </w:rPr>
            </w:pPr>
            <w:r>
              <w:rPr>
                <w:rFonts w:hint="eastAsia" w:ascii="宋体" w:hAnsi="宋体" w:cs="宋体"/>
                <w:color w:val="000000"/>
                <w:kern w:val="0"/>
                <w:szCs w:val="21"/>
              </w:rPr>
              <w:t>供应商成交后，未按时交货或出现货物质量差等影响采购人正常安全生产的情况；</w:t>
            </w:r>
          </w:p>
        </w:tc>
      </w:tr>
      <w:tr w14:paraId="5970F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860" w:type="dxa"/>
            <w:tcMar>
              <w:top w:w="0" w:type="dxa"/>
              <w:left w:w="105" w:type="dxa"/>
              <w:bottom w:w="0" w:type="dxa"/>
              <w:right w:w="105" w:type="dxa"/>
            </w:tcMar>
            <w:vAlign w:val="center"/>
          </w:tcPr>
          <w:p w14:paraId="325631EC">
            <w:pPr>
              <w:keepNext w:val="0"/>
              <w:keepLines w:val="0"/>
              <w:widowControl/>
              <w:suppressLineNumbers w:val="0"/>
              <w:spacing w:before="0" w:beforeAutospacing="0" w:after="0" w:afterAutospacing="0" w:line="360" w:lineRule="auto"/>
              <w:ind w:left="0" w:right="0"/>
              <w:jc w:val="center"/>
              <w:rPr>
                <w:rFonts w:hint="default" w:ascii="宋体" w:hAnsi="宋体" w:cs="宋体"/>
                <w:color w:val="000000"/>
                <w:kern w:val="0"/>
                <w:szCs w:val="21"/>
              </w:rPr>
            </w:pPr>
            <w:r>
              <w:rPr>
                <w:rFonts w:hint="default" w:ascii="宋体" w:hAnsi="宋体" w:cs="宋体"/>
                <w:color w:val="000000"/>
                <w:kern w:val="0"/>
                <w:szCs w:val="21"/>
              </w:rPr>
              <w:t>11</w:t>
            </w:r>
          </w:p>
        </w:tc>
        <w:tc>
          <w:tcPr>
            <w:tcW w:w="7686" w:type="dxa"/>
            <w:tcMar>
              <w:top w:w="0" w:type="dxa"/>
              <w:left w:w="105" w:type="dxa"/>
              <w:bottom w:w="0" w:type="dxa"/>
              <w:right w:w="105" w:type="dxa"/>
            </w:tcMar>
            <w:vAlign w:val="center"/>
          </w:tcPr>
          <w:p w14:paraId="2FC5FC68">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kern w:val="0"/>
                <w:szCs w:val="21"/>
              </w:rPr>
            </w:pPr>
            <w:r>
              <w:rPr>
                <w:rFonts w:hint="eastAsia" w:ascii="宋体" w:hAnsi="宋体" w:cs="宋体"/>
                <w:color w:val="000000"/>
                <w:kern w:val="0"/>
                <w:szCs w:val="21"/>
              </w:rPr>
              <w:t>供应商出现未按实际供货情况进行验收；</w:t>
            </w:r>
          </w:p>
        </w:tc>
      </w:tr>
      <w:tr w14:paraId="1E397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860" w:type="dxa"/>
            <w:tcMar>
              <w:top w:w="0" w:type="dxa"/>
              <w:left w:w="105" w:type="dxa"/>
              <w:bottom w:w="0" w:type="dxa"/>
              <w:right w:w="105" w:type="dxa"/>
            </w:tcMar>
            <w:vAlign w:val="center"/>
          </w:tcPr>
          <w:p w14:paraId="5E609535">
            <w:pPr>
              <w:keepNext w:val="0"/>
              <w:keepLines w:val="0"/>
              <w:widowControl/>
              <w:suppressLineNumbers w:val="0"/>
              <w:spacing w:before="0" w:beforeAutospacing="0" w:after="0" w:afterAutospacing="0" w:line="360" w:lineRule="auto"/>
              <w:ind w:left="0" w:right="0"/>
              <w:jc w:val="center"/>
              <w:rPr>
                <w:rFonts w:hint="default" w:ascii="宋体" w:hAnsi="宋体" w:cs="宋体"/>
                <w:color w:val="000000"/>
                <w:kern w:val="0"/>
                <w:szCs w:val="21"/>
              </w:rPr>
            </w:pPr>
            <w:r>
              <w:rPr>
                <w:rFonts w:hint="default" w:ascii="宋体" w:hAnsi="宋体" w:cs="宋体"/>
                <w:color w:val="000000"/>
                <w:kern w:val="0"/>
                <w:szCs w:val="21"/>
              </w:rPr>
              <w:t>12</w:t>
            </w:r>
          </w:p>
        </w:tc>
        <w:tc>
          <w:tcPr>
            <w:tcW w:w="7686" w:type="dxa"/>
            <w:tcMar>
              <w:top w:w="0" w:type="dxa"/>
              <w:left w:w="105" w:type="dxa"/>
              <w:bottom w:w="0" w:type="dxa"/>
              <w:right w:w="105" w:type="dxa"/>
            </w:tcMar>
            <w:vAlign w:val="center"/>
          </w:tcPr>
          <w:p w14:paraId="3A49045F">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kern w:val="0"/>
                <w:szCs w:val="21"/>
              </w:rPr>
            </w:pPr>
            <w:r>
              <w:rPr>
                <w:rFonts w:hint="eastAsia" w:ascii="宋体" w:hAnsi="宋体" w:cs="宋体"/>
                <w:color w:val="000000"/>
                <w:kern w:val="0"/>
                <w:szCs w:val="21"/>
              </w:rPr>
              <w:t>经采购人反馈并经证实，出现推卸售后责任与服务等问题；</w:t>
            </w:r>
          </w:p>
        </w:tc>
      </w:tr>
      <w:tr w14:paraId="3F6B4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860" w:type="dxa"/>
            <w:tcMar>
              <w:top w:w="0" w:type="dxa"/>
              <w:left w:w="105" w:type="dxa"/>
              <w:bottom w:w="0" w:type="dxa"/>
              <w:right w:w="105" w:type="dxa"/>
            </w:tcMar>
            <w:vAlign w:val="center"/>
          </w:tcPr>
          <w:p w14:paraId="1E69A84B">
            <w:pPr>
              <w:keepNext w:val="0"/>
              <w:keepLines w:val="0"/>
              <w:widowControl/>
              <w:suppressLineNumbers w:val="0"/>
              <w:spacing w:before="0" w:beforeAutospacing="0" w:after="0" w:afterAutospacing="0" w:line="360" w:lineRule="auto"/>
              <w:ind w:left="0" w:right="0"/>
              <w:jc w:val="center"/>
              <w:rPr>
                <w:rFonts w:hint="default" w:ascii="宋体" w:hAnsi="宋体" w:cs="宋体"/>
                <w:color w:val="000000"/>
                <w:kern w:val="0"/>
                <w:szCs w:val="21"/>
              </w:rPr>
            </w:pPr>
            <w:r>
              <w:rPr>
                <w:rFonts w:hint="eastAsia" w:ascii="宋体" w:hAnsi="宋体" w:cs="宋体"/>
                <w:color w:val="000000"/>
                <w:kern w:val="0"/>
                <w:szCs w:val="21"/>
              </w:rPr>
              <w:t>1</w:t>
            </w:r>
            <w:r>
              <w:rPr>
                <w:rFonts w:hint="default" w:ascii="宋体" w:hAnsi="宋体" w:cs="宋体"/>
                <w:color w:val="000000"/>
                <w:kern w:val="0"/>
                <w:szCs w:val="21"/>
              </w:rPr>
              <w:t>3</w:t>
            </w:r>
          </w:p>
        </w:tc>
        <w:tc>
          <w:tcPr>
            <w:tcW w:w="7686" w:type="dxa"/>
            <w:tcMar>
              <w:top w:w="0" w:type="dxa"/>
              <w:left w:w="105" w:type="dxa"/>
              <w:bottom w:w="0" w:type="dxa"/>
              <w:right w:w="105" w:type="dxa"/>
            </w:tcMar>
            <w:vAlign w:val="center"/>
          </w:tcPr>
          <w:p w14:paraId="566A19C4">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kern w:val="0"/>
                <w:szCs w:val="21"/>
              </w:rPr>
            </w:pPr>
            <w:r>
              <w:rPr>
                <w:rFonts w:hint="eastAsia" w:ascii="宋体" w:hAnsi="宋体" w:cs="宋体"/>
                <w:color w:val="000000"/>
                <w:kern w:val="0"/>
                <w:szCs w:val="21"/>
              </w:rPr>
              <w:t>经采购人反馈并经证实，验收后发现所供货物存在翻新或货不对版等情况；</w:t>
            </w:r>
          </w:p>
        </w:tc>
      </w:tr>
      <w:tr w14:paraId="6FE38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96" w:hRule="atLeast"/>
          <w:tblCellSpacing w:w="0" w:type="dxa"/>
          <w:jc w:val="center"/>
        </w:trPr>
        <w:tc>
          <w:tcPr>
            <w:tcW w:w="8546" w:type="dxa"/>
            <w:gridSpan w:val="2"/>
            <w:tcMar>
              <w:top w:w="0" w:type="dxa"/>
              <w:left w:w="105" w:type="dxa"/>
              <w:bottom w:w="0" w:type="dxa"/>
              <w:right w:w="105" w:type="dxa"/>
            </w:tcMar>
            <w:vAlign w:val="center"/>
          </w:tcPr>
          <w:p w14:paraId="11FCD4EA">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kern w:val="0"/>
                <w:szCs w:val="21"/>
              </w:rPr>
            </w:pPr>
            <w:r>
              <w:rPr>
                <w:rFonts w:hint="eastAsia" w:ascii="宋体" w:hAnsi="宋体" w:cs="宋体"/>
                <w:color w:val="000000"/>
                <w:kern w:val="0"/>
                <w:szCs w:val="21"/>
              </w:rPr>
              <w:t>备注：</w:t>
            </w:r>
          </w:p>
          <w:p w14:paraId="2B80C8A3">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kern w:val="0"/>
                <w:szCs w:val="21"/>
              </w:rPr>
            </w:pPr>
            <w:r>
              <w:rPr>
                <w:rFonts w:hint="eastAsia" w:ascii="宋体" w:hAnsi="宋体" w:cs="宋体"/>
                <w:color w:val="000000"/>
                <w:kern w:val="0"/>
                <w:szCs w:val="21"/>
              </w:rPr>
              <w:t>（1）出现以上情形1次的，平台将对该供应商进行提醒处理，并在平台“通知公告”处进行公示；</w:t>
            </w:r>
          </w:p>
          <w:p w14:paraId="069DCE77">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kern w:val="0"/>
                <w:szCs w:val="21"/>
              </w:rPr>
            </w:pPr>
            <w:r>
              <w:rPr>
                <w:rFonts w:hint="eastAsia" w:ascii="宋体" w:hAnsi="宋体" w:cs="宋体"/>
                <w:color w:val="000000"/>
                <w:kern w:val="0"/>
                <w:szCs w:val="21"/>
              </w:rPr>
              <w:t>（2）累计出现以上情形2次的，平台将对其进行警告处理，将其纳入供应商黑名单2个月，在此期间不能参与</w:t>
            </w:r>
            <w:r>
              <w:rPr>
                <w:rFonts w:hint="eastAsia" w:ascii="宋体" w:hAnsi="宋体" w:cs="宋体"/>
                <w:color w:val="000000"/>
                <w:kern w:val="0"/>
                <w:szCs w:val="21"/>
                <w:u w:val="double"/>
              </w:rPr>
              <w:t>广东省广裕集团阳春实业有限公司</w:t>
            </w:r>
            <w:r>
              <w:rPr>
                <w:rFonts w:hint="eastAsia" w:ascii="宋体" w:hAnsi="宋体" w:cs="宋体"/>
                <w:color w:val="000000"/>
                <w:kern w:val="0"/>
                <w:szCs w:val="21"/>
              </w:rPr>
              <w:t>所有采购活动，并在平台“通知公告”处进行公示；</w:t>
            </w:r>
          </w:p>
          <w:p w14:paraId="6F065603">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kern w:val="0"/>
                <w:szCs w:val="21"/>
              </w:rPr>
            </w:pPr>
            <w:r>
              <w:rPr>
                <w:rFonts w:hint="eastAsia" w:ascii="宋体" w:hAnsi="宋体" w:cs="宋体"/>
                <w:color w:val="000000"/>
                <w:kern w:val="0"/>
                <w:szCs w:val="21"/>
              </w:rPr>
              <w:t>（3）累计出现以上情形3次的，平台将对其进行剔除处理，将其纳入供应商黑名单2年，在此期间不能参与</w:t>
            </w:r>
            <w:r>
              <w:rPr>
                <w:rFonts w:hint="eastAsia" w:ascii="宋体" w:hAnsi="宋体" w:cs="宋体"/>
                <w:color w:val="000000"/>
                <w:kern w:val="0"/>
                <w:szCs w:val="21"/>
                <w:u w:val="double"/>
              </w:rPr>
              <w:t>广东省广裕集团阳春实业有限公司</w:t>
            </w:r>
            <w:r>
              <w:rPr>
                <w:rFonts w:hint="eastAsia" w:ascii="宋体" w:hAnsi="宋体" w:cs="宋体"/>
                <w:color w:val="000000"/>
                <w:kern w:val="0"/>
                <w:szCs w:val="21"/>
              </w:rPr>
              <w:t>所有采购活动，删除供应商资格权限，并在平台“通知公告”处进行公示；</w:t>
            </w:r>
          </w:p>
          <w:p w14:paraId="611EA66D">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kern w:val="0"/>
                <w:szCs w:val="21"/>
              </w:rPr>
            </w:pPr>
            <w:r>
              <w:rPr>
                <w:rFonts w:hint="eastAsia" w:ascii="宋体" w:hAnsi="宋体" w:cs="宋体"/>
                <w:color w:val="000000"/>
                <w:kern w:val="0"/>
                <w:szCs w:val="21"/>
              </w:rPr>
              <w:t>（4）本规则记录周期为一年，自当年1月1日起算，以上情形累计不超过三次的，记录于每年12月31日清零；已被纳入供应商黑名单的在禁止参与竞价期限内不予清零，供应商须在处理期结束后，自行提交供应商资格恢复申请函（格式自拟），自资格恢复之日起重新起算。</w:t>
            </w:r>
          </w:p>
        </w:tc>
      </w:tr>
    </w:tbl>
    <w:p w14:paraId="07EAE55C">
      <w:pPr>
        <w:widowControl/>
        <w:spacing w:line="312" w:lineRule="auto"/>
        <w:jc w:val="left"/>
        <w:rPr>
          <w:rFonts w:ascii="宋体" w:hAnsi="宋体" w:cs="宋体"/>
          <w:color w:val="000000"/>
          <w:kern w:val="0"/>
          <w:szCs w:val="21"/>
        </w:rPr>
      </w:pPr>
      <w:r>
        <w:rPr>
          <w:rFonts w:hint="eastAsia" w:ascii="宋体" w:hAnsi="宋体" w:cs="宋体"/>
          <w:color w:val="000000"/>
          <w:kern w:val="0"/>
          <w:szCs w:val="21"/>
        </w:rPr>
        <w:t>出现以下情况的，将直接对供应商作出剔除资格处理：</w:t>
      </w:r>
    </w:p>
    <w:p w14:paraId="596DB098">
      <w:pPr>
        <w:widowControl/>
        <w:spacing w:line="312" w:lineRule="auto"/>
        <w:jc w:val="left"/>
        <w:rPr>
          <w:rFonts w:ascii="宋体" w:hAnsi="宋体" w:cs="宋体"/>
          <w:color w:val="000000"/>
          <w:kern w:val="0"/>
          <w:szCs w:val="21"/>
        </w:rPr>
      </w:pPr>
      <w:r>
        <w:rPr>
          <w:rFonts w:hint="eastAsia" w:ascii="宋体" w:hAnsi="宋体" w:cs="宋体"/>
          <w:color w:val="000000"/>
          <w:kern w:val="0"/>
          <w:szCs w:val="21"/>
        </w:rPr>
        <w:t>1.伪造虚假材料报名参与项目；</w:t>
      </w:r>
    </w:p>
    <w:p w14:paraId="601C9D92">
      <w:pPr>
        <w:widowControl/>
        <w:spacing w:line="312" w:lineRule="auto"/>
        <w:jc w:val="left"/>
        <w:rPr>
          <w:rFonts w:ascii="宋体" w:hAnsi="宋体" w:cs="宋体"/>
          <w:color w:val="000000"/>
          <w:kern w:val="0"/>
          <w:szCs w:val="21"/>
        </w:rPr>
      </w:pPr>
      <w:r>
        <w:rPr>
          <w:rFonts w:hint="eastAsia" w:ascii="宋体" w:hAnsi="宋体" w:cs="宋体"/>
          <w:color w:val="000000"/>
          <w:kern w:val="0"/>
          <w:szCs w:val="21"/>
        </w:rPr>
        <w:t>2.提供假、冒、伪、劣及不合法产品参与采购项目；</w:t>
      </w:r>
    </w:p>
    <w:p w14:paraId="44D5C886">
      <w:pPr>
        <w:widowControl/>
        <w:spacing w:line="312" w:lineRule="auto"/>
        <w:jc w:val="left"/>
        <w:rPr>
          <w:rFonts w:ascii="宋体" w:hAnsi="宋体" w:cs="宋体"/>
          <w:color w:val="000000"/>
          <w:kern w:val="0"/>
          <w:szCs w:val="21"/>
        </w:rPr>
      </w:pPr>
      <w:r>
        <w:rPr>
          <w:rFonts w:hint="eastAsia" w:ascii="宋体" w:hAnsi="宋体" w:cs="宋体"/>
          <w:color w:val="000000"/>
          <w:kern w:val="0"/>
          <w:szCs w:val="21"/>
        </w:rPr>
        <w:t>3.采取不正当手段诋毁、排挤或串通其他供应商对采购人及平台进行人身攻击的；</w:t>
      </w:r>
    </w:p>
    <w:p w14:paraId="587A9864">
      <w:pPr>
        <w:widowControl/>
        <w:spacing w:line="312" w:lineRule="auto"/>
        <w:jc w:val="left"/>
        <w:rPr>
          <w:rFonts w:ascii="宋体" w:hAnsi="宋体" w:cs="宋体"/>
          <w:color w:val="000000"/>
          <w:kern w:val="0"/>
          <w:szCs w:val="21"/>
        </w:rPr>
      </w:pPr>
      <w:r>
        <w:rPr>
          <w:rFonts w:hint="eastAsia" w:ascii="宋体" w:hAnsi="宋体" w:cs="宋体"/>
          <w:color w:val="000000"/>
          <w:kern w:val="0"/>
          <w:szCs w:val="21"/>
        </w:rPr>
        <w:t>4.向采购人或平台行贿或提供其他不正当利益的；</w:t>
      </w:r>
    </w:p>
    <w:p w14:paraId="72351AC1">
      <w:pPr>
        <w:widowControl/>
        <w:spacing w:line="312" w:lineRule="auto"/>
        <w:jc w:val="left"/>
        <w:rPr>
          <w:rFonts w:ascii="宋体" w:hAnsi="宋体" w:cs="宋体"/>
          <w:color w:val="000000"/>
          <w:kern w:val="0"/>
          <w:szCs w:val="21"/>
        </w:rPr>
      </w:pPr>
      <w:r>
        <w:rPr>
          <w:rFonts w:hint="eastAsia" w:ascii="宋体" w:hAnsi="宋体" w:cs="宋体"/>
          <w:color w:val="000000"/>
          <w:kern w:val="0"/>
          <w:szCs w:val="21"/>
        </w:rPr>
        <w:t>5.符合串通竞价的情形；</w:t>
      </w:r>
    </w:p>
    <w:p w14:paraId="7A504390">
      <w:pPr>
        <w:widowControl/>
        <w:spacing w:line="312" w:lineRule="auto"/>
        <w:jc w:val="left"/>
        <w:rPr>
          <w:rFonts w:ascii="宋体" w:hAnsi="宋体" w:cs="宋体"/>
          <w:color w:val="000000"/>
          <w:kern w:val="0"/>
          <w:szCs w:val="21"/>
        </w:rPr>
      </w:pPr>
      <w:r>
        <w:rPr>
          <w:rFonts w:hint="eastAsia" w:ascii="宋体" w:hAnsi="宋体" w:cs="宋体"/>
          <w:color w:val="000000"/>
          <w:kern w:val="0"/>
          <w:szCs w:val="21"/>
        </w:rPr>
        <w:t>各方（供应商、采购人、平台运营人员）须共同遵守本规则，维护平台采购秩序，坚持打造公平、公开、公正的线上采购一体化平台。</w:t>
      </w:r>
    </w:p>
    <w:p w14:paraId="743CE96A">
      <w:pPr>
        <w:widowControl/>
        <w:spacing w:line="312" w:lineRule="auto"/>
        <w:jc w:val="left"/>
        <w:rPr>
          <w:rFonts w:ascii="宋体" w:hAnsi="宋体" w:cs="宋体"/>
          <w:color w:val="000000"/>
          <w:kern w:val="0"/>
          <w:szCs w:val="21"/>
        </w:rPr>
      </w:pPr>
      <w:r>
        <w:rPr>
          <w:rFonts w:hint="eastAsia" w:ascii="宋体" w:hAnsi="宋体" w:cs="宋体"/>
          <w:color w:val="000000"/>
          <w:kern w:val="0"/>
          <w:szCs w:val="21"/>
        </w:rPr>
        <w:t>本管理规则由云采链线上采购一体化平台负责解释。</w:t>
      </w:r>
    </w:p>
    <w:p w14:paraId="5FD37C52">
      <w:pPr>
        <w:widowControl/>
        <w:spacing w:line="312" w:lineRule="auto"/>
        <w:jc w:val="left"/>
        <w:rPr>
          <w:rFonts w:ascii="宋体" w:hAnsi="宋体" w:cs="宋体"/>
          <w:color w:val="000000"/>
          <w:kern w:val="0"/>
          <w:szCs w:val="21"/>
        </w:rPr>
      </w:pPr>
      <w:r>
        <w:rPr>
          <w:rFonts w:hint="eastAsia" w:ascii="宋体" w:hAnsi="宋体" w:cs="宋体"/>
          <w:color w:val="000000"/>
          <w:kern w:val="0"/>
          <w:szCs w:val="21"/>
        </w:rPr>
        <w:t>本管理规则自发布之日起执行。</w:t>
      </w:r>
    </w:p>
    <w:p w14:paraId="4F553685">
      <w:pPr>
        <w:spacing w:line="312" w:lineRule="auto"/>
        <w:jc w:val="left"/>
        <w:rPr>
          <w:rFonts w:ascii="宋体" w:hAnsi="宋体"/>
          <w:b/>
          <w:bCs/>
          <w:color w:val="000000"/>
          <w:szCs w:val="21"/>
        </w:rPr>
      </w:pPr>
      <w:r>
        <w:rPr>
          <w:rFonts w:hint="eastAsia" w:ascii="宋体" w:hAnsi="宋体"/>
          <w:b/>
          <w:bCs/>
          <w:color w:val="000000"/>
          <w:szCs w:val="21"/>
        </w:rPr>
        <w:t>========================================================</w:t>
      </w:r>
    </w:p>
    <w:p w14:paraId="13197944">
      <w:pPr>
        <w:spacing w:line="312" w:lineRule="auto"/>
        <w:ind w:left="-2" w:leftChars="-1" w:right="19" w:rightChars="9" w:firstLine="457" w:firstLineChars="218"/>
        <w:jc w:val="left"/>
        <w:rPr>
          <w:rFonts w:ascii="宋体" w:hAnsi="宋体"/>
          <w:color w:val="000000"/>
          <w:szCs w:val="21"/>
        </w:rPr>
      </w:pPr>
      <w:r>
        <w:rPr>
          <w:rFonts w:hint="eastAsia" w:ascii="宋体" w:hAnsi="宋体"/>
          <w:color w:val="000000"/>
          <w:szCs w:val="21"/>
        </w:rPr>
        <w:t>我司（单位）报名参与</w:t>
      </w:r>
      <w:r>
        <w:rPr>
          <w:rFonts w:hint="eastAsia" w:ascii="宋体" w:hAnsi="宋体"/>
          <w:b/>
          <w:szCs w:val="21"/>
          <w:u w:val="single"/>
          <w:lang w:eastAsia="zh-CN"/>
        </w:rPr>
        <w:t>广裕阳春定制类及实训中心会议讨论室办公家具采购项目</w:t>
      </w:r>
      <w:r>
        <w:rPr>
          <w:rFonts w:hint="eastAsia" w:ascii="宋体" w:hAnsi="宋体"/>
          <w:color w:val="000000"/>
          <w:szCs w:val="21"/>
        </w:rPr>
        <w:t>，并已经详细地阅读并完全明白《广东省广裕集团阳春实业有限公司供应商管理规则（试行）》，我司（单位）承诺遵守该规则，若有违反其中条款，同意平台对我司（单位）按照上述条款作出相应处理。</w:t>
      </w:r>
    </w:p>
    <w:p w14:paraId="534DDD39">
      <w:pPr>
        <w:spacing w:line="360" w:lineRule="auto"/>
        <w:jc w:val="right"/>
        <w:rPr>
          <w:rFonts w:ascii="宋体" w:hAnsi="宋体"/>
          <w:color w:val="000000"/>
          <w:spacing w:val="4"/>
          <w:szCs w:val="21"/>
        </w:rPr>
      </w:pPr>
    </w:p>
    <w:p w14:paraId="6D2CC466">
      <w:pPr>
        <w:spacing w:line="360" w:lineRule="auto"/>
        <w:jc w:val="right"/>
        <w:rPr>
          <w:rFonts w:ascii="宋体" w:hAnsi="宋体"/>
          <w:color w:val="000000"/>
          <w:spacing w:val="4"/>
          <w:szCs w:val="21"/>
          <w:u w:val="single"/>
        </w:rPr>
      </w:pPr>
      <w:r>
        <w:rPr>
          <w:rFonts w:hint="eastAsia" w:ascii="宋体" w:hAnsi="宋体"/>
          <w:color w:val="000000"/>
          <w:spacing w:val="4"/>
          <w:szCs w:val="21"/>
        </w:rPr>
        <w:t>供应商名称（</w:t>
      </w:r>
      <w:r>
        <w:rPr>
          <w:rFonts w:hint="eastAsia" w:ascii="宋体" w:hAnsi="宋体"/>
          <w:color w:val="000000"/>
          <w:szCs w:val="21"/>
        </w:rPr>
        <w:t>单位盖</w:t>
      </w:r>
      <w:r>
        <w:rPr>
          <w:rFonts w:hint="eastAsia" w:ascii="宋体" w:hAnsi="宋体"/>
          <w:color w:val="000000"/>
          <w:spacing w:val="4"/>
          <w:szCs w:val="21"/>
        </w:rPr>
        <w:t>公章）：</w:t>
      </w:r>
    </w:p>
    <w:p w14:paraId="69775E16">
      <w:pPr>
        <w:jc w:val="right"/>
      </w:pPr>
      <w:r>
        <w:rPr>
          <w:rFonts w:hint="eastAsia"/>
        </w:rPr>
        <w:t>日期：</w:t>
      </w:r>
    </w:p>
    <w:p w14:paraId="0DEB32D6">
      <w:pPr>
        <w:spacing w:line="360" w:lineRule="auto"/>
        <w:rPr>
          <w:rFonts w:ascii="宋体" w:hAnsi="宋体"/>
        </w:rPr>
      </w:pPr>
      <w:r>
        <w:rPr>
          <w:rFonts w:hint="eastAsia" w:ascii="宋体" w:hAnsi="宋体"/>
        </w:rPr>
        <w:t xml:space="preserve"> </w:t>
      </w:r>
    </w:p>
    <w:p w14:paraId="37FB24A1">
      <w:pPr>
        <w:rPr>
          <w:rFonts w:ascii="宋体" w:hAnsi="宋体" w:cs="宋体"/>
          <w:b/>
          <w:bCs/>
          <w:kern w:val="0"/>
          <w:sz w:val="32"/>
          <w:szCs w:val="32"/>
        </w:rPr>
      </w:pPr>
      <w:r>
        <w:rPr>
          <w:rFonts w:ascii="宋体" w:hAnsi="宋体" w:cs="宋体"/>
          <w:b/>
          <w:bCs/>
          <w:kern w:val="0"/>
          <w:sz w:val="32"/>
          <w:szCs w:val="32"/>
        </w:rPr>
        <w:br w:type="page"/>
      </w:r>
    </w:p>
    <w:p w14:paraId="201609CC">
      <w:pPr>
        <w:spacing w:line="360" w:lineRule="auto"/>
        <w:jc w:val="center"/>
        <w:rPr>
          <w:rFonts w:hint="eastAsia" w:ascii="宋体" w:hAnsi="宋体"/>
          <w:b/>
          <w:sz w:val="60"/>
          <w:szCs w:val="60"/>
        </w:rPr>
      </w:pPr>
      <w:r>
        <w:rPr>
          <w:rFonts w:hint="eastAsia" w:ascii="宋体" w:hAnsi="宋体"/>
          <w:b/>
          <w:sz w:val="60"/>
          <w:szCs w:val="60"/>
        </w:rPr>
        <w:t>广裕阳春定制类及实训中心</w:t>
      </w:r>
    </w:p>
    <w:p w14:paraId="5BEDEA50">
      <w:pPr>
        <w:spacing w:line="360" w:lineRule="auto"/>
        <w:jc w:val="center"/>
        <w:rPr>
          <w:rFonts w:hint="eastAsia" w:ascii="宋体" w:hAnsi="宋体"/>
          <w:b/>
          <w:sz w:val="60"/>
          <w:szCs w:val="60"/>
        </w:rPr>
      </w:pPr>
      <w:r>
        <w:rPr>
          <w:rFonts w:hint="eastAsia" w:ascii="宋体" w:hAnsi="宋体"/>
          <w:b/>
          <w:sz w:val="60"/>
          <w:szCs w:val="60"/>
        </w:rPr>
        <w:t>会议讨论室办公家具</w:t>
      </w:r>
    </w:p>
    <w:p w14:paraId="2FEF846D">
      <w:pPr>
        <w:spacing w:line="360" w:lineRule="auto"/>
        <w:jc w:val="center"/>
        <w:outlineLvl w:val="0"/>
        <w:rPr>
          <w:rFonts w:hint="eastAsia" w:ascii="宋体" w:hAnsi="宋体" w:eastAsia="宋体"/>
          <w:b/>
          <w:sz w:val="60"/>
          <w:szCs w:val="60"/>
          <w:lang w:val="en-US" w:eastAsia="zh-CN"/>
        </w:rPr>
      </w:pPr>
      <w:r>
        <w:rPr>
          <w:rFonts w:hint="eastAsia" w:ascii="宋体" w:hAnsi="宋体"/>
          <w:b/>
          <w:sz w:val="60"/>
          <w:szCs w:val="60"/>
        </w:rPr>
        <w:t>采购</w:t>
      </w:r>
      <w:r>
        <w:rPr>
          <w:rFonts w:hint="eastAsia" w:ascii="宋体" w:hAnsi="宋体"/>
          <w:b/>
          <w:sz w:val="60"/>
          <w:szCs w:val="60"/>
          <w:lang w:val="en-US" w:eastAsia="zh-CN"/>
        </w:rPr>
        <w:t>项目合同</w:t>
      </w:r>
    </w:p>
    <w:p w14:paraId="6FC692A9">
      <w:pPr>
        <w:pStyle w:val="25"/>
        <w:spacing w:line="360" w:lineRule="auto"/>
        <w:ind w:firstLine="0" w:firstLineChars="0"/>
      </w:pPr>
    </w:p>
    <w:p w14:paraId="1F200E16">
      <w:pPr>
        <w:pStyle w:val="25"/>
        <w:spacing w:line="360" w:lineRule="auto"/>
        <w:ind w:firstLine="0" w:firstLineChars="0"/>
      </w:pPr>
    </w:p>
    <w:p w14:paraId="20FA9BCD">
      <w:pPr>
        <w:pStyle w:val="25"/>
        <w:spacing w:line="360" w:lineRule="auto"/>
        <w:ind w:firstLine="0" w:firstLineChars="0"/>
      </w:pPr>
    </w:p>
    <w:p w14:paraId="48A43893">
      <w:pPr>
        <w:pStyle w:val="25"/>
        <w:spacing w:line="360" w:lineRule="auto"/>
        <w:ind w:firstLine="0" w:firstLineChars="0"/>
      </w:pPr>
    </w:p>
    <w:p w14:paraId="0CF3EB3F">
      <w:pPr>
        <w:pStyle w:val="25"/>
        <w:ind w:firstLine="0" w:firstLineChars="0"/>
      </w:pPr>
    </w:p>
    <w:p w14:paraId="183F0F86">
      <w:pPr>
        <w:spacing w:line="360" w:lineRule="auto"/>
        <w:jc w:val="center"/>
        <w:rPr>
          <w:rFonts w:ascii="宋体" w:hAnsi="宋体"/>
          <w:b/>
          <w:sz w:val="60"/>
          <w:szCs w:val="60"/>
        </w:rPr>
      </w:pPr>
      <w:r>
        <w:rPr>
          <w:rFonts w:hint="eastAsia" w:ascii="宋体" w:hAnsi="宋体"/>
          <w:b/>
          <w:sz w:val="60"/>
          <w:szCs w:val="60"/>
        </w:rPr>
        <w:t>合</w:t>
      </w:r>
    </w:p>
    <w:p w14:paraId="343A4167">
      <w:pPr>
        <w:spacing w:line="360" w:lineRule="auto"/>
        <w:jc w:val="center"/>
        <w:rPr>
          <w:rFonts w:ascii="宋体" w:hAnsi="宋体"/>
          <w:b/>
          <w:sz w:val="60"/>
          <w:szCs w:val="60"/>
        </w:rPr>
      </w:pPr>
      <w:r>
        <w:rPr>
          <w:rFonts w:hint="eastAsia" w:ascii="宋体" w:hAnsi="宋体"/>
          <w:b/>
          <w:sz w:val="60"/>
          <w:szCs w:val="60"/>
        </w:rPr>
        <w:t>同</w:t>
      </w:r>
    </w:p>
    <w:p w14:paraId="2F836014">
      <w:pPr>
        <w:spacing w:line="360" w:lineRule="auto"/>
        <w:jc w:val="center"/>
        <w:rPr>
          <w:rFonts w:ascii="宋体" w:hAnsi="宋体"/>
          <w:b/>
          <w:sz w:val="60"/>
          <w:szCs w:val="60"/>
        </w:rPr>
      </w:pPr>
      <w:r>
        <w:rPr>
          <w:rFonts w:hint="eastAsia" w:ascii="宋体" w:hAnsi="宋体"/>
          <w:b/>
          <w:sz w:val="60"/>
          <w:szCs w:val="60"/>
        </w:rPr>
        <w:t>书</w:t>
      </w:r>
    </w:p>
    <w:p w14:paraId="18F47B50">
      <w:pPr>
        <w:spacing w:line="580" w:lineRule="exact"/>
        <w:jc w:val="center"/>
        <w:rPr>
          <w:rFonts w:eastAsia="仿宋_GB2312"/>
          <w:sz w:val="32"/>
          <w:szCs w:val="32"/>
        </w:rPr>
      </w:pPr>
    </w:p>
    <w:p w14:paraId="2C555ABC">
      <w:pPr>
        <w:spacing w:line="580" w:lineRule="exact"/>
        <w:jc w:val="center"/>
        <w:rPr>
          <w:rFonts w:eastAsia="仿宋_GB2312"/>
          <w:sz w:val="32"/>
          <w:szCs w:val="32"/>
        </w:rPr>
      </w:pPr>
    </w:p>
    <w:p w14:paraId="7B9FFEF4">
      <w:pPr>
        <w:pStyle w:val="25"/>
        <w:ind w:firstLine="0" w:firstLineChars="0"/>
        <w:rPr>
          <w:rFonts w:eastAsia="仿宋_GB2312"/>
          <w:sz w:val="30"/>
          <w:szCs w:val="30"/>
        </w:rPr>
      </w:pPr>
    </w:p>
    <w:p w14:paraId="3A9989F5">
      <w:pPr>
        <w:pStyle w:val="25"/>
        <w:ind w:firstLine="300"/>
        <w:rPr>
          <w:rFonts w:eastAsia="仿宋_GB2312"/>
          <w:sz w:val="30"/>
          <w:szCs w:val="30"/>
        </w:rPr>
      </w:pPr>
    </w:p>
    <w:p w14:paraId="4822D3EC">
      <w:pPr>
        <w:spacing w:line="360" w:lineRule="auto"/>
        <w:jc w:val="center"/>
        <w:rPr>
          <w:rFonts w:ascii="宋体" w:hAnsi="宋体"/>
          <w:b/>
          <w:sz w:val="32"/>
          <w:szCs w:val="32"/>
        </w:rPr>
      </w:pPr>
      <w:r>
        <w:rPr>
          <w:rFonts w:hint="eastAsia" w:ascii="宋体" w:hAnsi="宋体"/>
          <w:b/>
          <w:sz w:val="32"/>
          <w:szCs w:val="32"/>
        </w:rPr>
        <w:t>项目名称：</w:t>
      </w:r>
      <w:r>
        <w:rPr>
          <w:rFonts w:hint="eastAsia" w:ascii="宋体" w:hAnsi="宋体"/>
          <w:b/>
          <w:sz w:val="24"/>
          <w:szCs w:val="24"/>
        </w:rPr>
        <w:t>广裕阳春定制类及实训中心会议讨论室办公家具采购</w:t>
      </w:r>
      <w:r>
        <w:rPr>
          <w:rFonts w:hint="eastAsia" w:ascii="宋体" w:hAnsi="宋体"/>
          <w:b/>
          <w:sz w:val="24"/>
          <w:szCs w:val="24"/>
          <w:lang w:val="en-US" w:eastAsia="zh-CN"/>
        </w:rPr>
        <w:t>项目合同</w:t>
      </w:r>
    </w:p>
    <w:p w14:paraId="69416C27">
      <w:pPr>
        <w:spacing w:line="360" w:lineRule="auto"/>
        <w:rPr>
          <w:rFonts w:ascii="宋体" w:hAnsi="宋体"/>
          <w:b/>
          <w:sz w:val="32"/>
          <w:szCs w:val="32"/>
        </w:rPr>
      </w:pPr>
      <w:r>
        <w:rPr>
          <w:rFonts w:hint="eastAsia" w:ascii="宋体" w:hAnsi="宋体"/>
          <w:b/>
          <w:sz w:val="32"/>
          <w:szCs w:val="32"/>
        </w:rPr>
        <w:t>合同编号：</w:t>
      </w:r>
      <w:r>
        <w:rPr>
          <w:rFonts w:hint="eastAsia" w:ascii="宋体" w:hAnsi="宋体"/>
          <w:b/>
          <w:sz w:val="32"/>
          <w:szCs w:val="32"/>
          <w:u w:val="single"/>
        </w:rPr>
        <w:t xml:space="preserve">                                         </w:t>
      </w:r>
    </w:p>
    <w:p w14:paraId="2C41B499">
      <w:pPr>
        <w:spacing w:line="360" w:lineRule="auto"/>
        <w:rPr>
          <w:rFonts w:ascii="宋体" w:hAnsi="宋体"/>
          <w:b/>
          <w:sz w:val="32"/>
          <w:szCs w:val="32"/>
          <w:u w:val="single"/>
        </w:rPr>
      </w:pPr>
      <w:r>
        <w:rPr>
          <w:rFonts w:hint="eastAsia" w:ascii="宋体" w:hAnsi="宋体"/>
          <w:b/>
          <w:sz w:val="32"/>
          <w:szCs w:val="32"/>
        </w:rPr>
        <w:t>签约地点：</w:t>
      </w:r>
      <w:r>
        <w:rPr>
          <w:rFonts w:hint="eastAsia" w:ascii="宋体" w:hAnsi="宋体"/>
          <w:b/>
          <w:sz w:val="32"/>
          <w:szCs w:val="32"/>
          <w:u w:val="single"/>
        </w:rPr>
        <w:t xml:space="preserve">                                         </w:t>
      </w:r>
    </w:p>
    <w:p w14:paraId="05B91090">
      <w:pPr>
        <w:spacing w:line="360" w:lineRule="auto"/>
        <w:rPr>
          <w:rFonts w:ascii="宋体" w:hAnsi="宋体"/>
          <w:b/>
          <w:sz w:val="32"/>
          <w:szCs w:val="32"/>
        </w:rPr>
      </w:pPr>
      <w:r>
        <w:rPr>
          <w:rFonts w:hint="eastAsia" w:ascii="宋体" w:hAnsi="宋体"/>
          <w:b/>
          <w:sz w:val="32"/>
          <w:szCs w:val="32"/>
        </w:rPr>
        <w:t>签订日期：      年     月    日</w:t>
      </w:r>
    </w:p>
    <w:p w14:paraId="1E94997C">
      <w:pPr>
        <w:tabs>
          <w:tab w:val="left" w:pos="720"/>
        </w:tabs>
        <w:spacing w:line="360" w:lineRule="auto"/>
        <w:rPr>
          <w:rFonts w:ascii="宋体" w:hAnsi="宋体"/>
          <w:b/>
          <w:szCs w:val="21"/>
        </w:rPr>
      </w:pPr>
      <w:r>
        <w:rPr>
          <w:rFonts w:ascii="宋体" w:hAnsi="宋体"/>
          <w:b/>
          <w:szCs w:val="21"/>
        </w:rPr>
        <w:br w:type="page"/>
      </w:r>
      <w:r>
        <w:rPr>
          <w:rFonts w:hint="eastAsia" w:ascii="宋体" w:hAnsi="宋体"/>
          <w:b/>
          <w:szCs w:val="21"/>
        </w:rPr>
        <w:t>甲    方：广东省广裕集团阳春实业有限公司</w:t>
      </w:r>
    </w:p>
    <w:p w14:paraId="39B57808">
      <w:pPr>
        <w:spacing w:line="300" w:lineRule="auto"/>
        <w:rPr>
          <w:rFonts w:ascii="宋体" w:hAnsi="宋体"/>
          <w:szCs w:val="21"/>
        </w:rPr>
      </w:pPr>
      <w:r>
        <w:rPr>
          <w:rFonts w:hint="eastAsia" w:ascii="宋体" w:hAnsi="宋体"/>
          <w:szCs w:val="21"/>
        </w:rPr>
        <w:t xml:space="preserve">电    话：    </w:t>
      </w:r>
    </w:p>
    <w:p w14:paraId="30301033">
      <w:pPr>
        <w:spacing w:line="300" w:lineRule="auto"/>
        <w:rPr>
          <w:rFonts w:ascii="宋体" w:hAnsi="宋体"/>
          <w:szCs w:val="21"/>
        </w:rPr>
      </w:pPr>
      <w:r>
        <w:rPr>
          <w:rFonts w:hint="eastAsia" w:ascii="宋体" w:hAnsi="宋体"/>
          <w:szCs w:val="21"/>
        </w:rPr>
        <w:t xml:space="preserve">传  真：           </w:t>
      </w:r>
    </w:p>
    <w:p w14:paraId="31CEB389">
      <w:pPr>
        <w:spacing w:line="300" w:lineRule="auto"/>
        <w:rPr>
          <w:rFonts w:ascii="宋体" w:hAnsi="宋体"/>
          <w:szCs w:val="21"/>
        </w:rPr>
      </w:pPr>
      <w:r>
        <w:rPr>
          <w:rFonts w:hint="eastAsia" w:ascii="宋体" w:hAnsi="宋体"/>
          <w:szCs w:val="21"/>
        </w:rPr>
        <w:t>地  址：</w:t>
      </w:r>
    </w:p>
    <w:p w14:paraId="6CCDEB94">
      <w:pPr>
        <w:spacing w:line="300" w:lineRule="auto"/>
        <w:rPr>
          <w:rFonts w:ascii="宋体" w:hAnsi="宋体"/>
          <w:b/>
          <w:szCs w:val="21"/>
        </w:rPr>
      </w:pPr>
    </w:p>
    <w:p w14:paraId="0505C218">
      <w:pPr>
        <w:spacing w:line="300" w:lineRule="auto"/>
        <w:rPr>
          <w:rFonts w:ascii="宋体" w:hAnsi="宋体"/>
          <w:szCs w:val="21"/>
        </w:rPr>
      </w:pPr>
      <w:r>
        <w:rPr>
          <w:rFonts w:hint="eastAsia" w:ascii="宋体" w:hAnsi="宋体"/>
          <w:b/>
          <w:szCs w:val="21"/>
        </w:rPr>
        <w:t xml:space="preserve">乙    方： </w:t>
      </w:r>
      <w:r>
        <w:rPr>
          <w:rFonts w:hint="eastAsia" w:ascii="宋体" w:hAnsi="宋体"/>
          <w:b/>
          <w:szCs w:val="21"/>
        </w:rPr>
        <w:br w:type="textWrapping"/>
      </w:r>
      <w:r>
        <w:rPr>
          <w:rFonts w:hint="eastAsia" w:ascii="宋体" w:hAnsi="宋体"/>
          <w:szCs w:val="21"/>
        </w:rPr>
        <w:t xml:space="preserve">电    话：    </w:t>
      </w:r>
    </w:p>
    <w:p w14:paraId="5CB98673">
      <w:pPr>
        <w:spacing w:line="300" w:lineRule="auto"/>
        <w:rPr>
          <w:rFonts w:ascii="宋体" w:hAnsi="宋体"/>
          <w:szCs w:val="21"/>
        </w:rPr>
      </w:pPr>
      <w:r>
        <w:rPr>
          <w:rFonts w:hint="eastAsia" w:ascii="宋体" w:hAnsi="宋体"/>
          <w:szCs w:val="21"/>
        </w:rPr>
        <w:t xml:space="preserve">传  真：   </w:t>
      </w:r>
    </w:p>
    <w:p w14:paraId="5BEC297C">
      <w:pPr>
        <w:spacing w:line="300" w:lineRule="auto"/>
        <w:rPr>
          <w:rFonts w:ascii="宋体" w:hAnsi="宋体"/>
          <w:szCs w:val="21"/>
        </w:rPr>
      </w:pPr>
      <w:r>
        <w:rPr>
          <w:rFonts w:hint="eastAsia" w:ascii="宋体" w:hAnsi="宋体"/>
          <w:szCs w:val="21"/>
        </w:rPr>
        <w:t xml:space="preserve">地  址： </w:t>
      </w:r>
    </w:p>
    <w:p w14:paraId="79E5C30C">
      <w:pPr>
        <w:spacing w:line="300" w:lineRule="auto"/>
        <w:rPr>
          <w:rFonts w:ascii="宋体" w:hAnsi="宋体"/>
          <w:szCs w:val="21"/>
        </w:rPr>
      </w:pPr>
    </w:p>
    <w:p w14:paraId="5A3C8993">
      <w:pPr>
        <w:spacing w:line="300" w:lineRule="auto"/>
        <w:rPr>
          <w:rFonts w:hint="eastAsia" w:ascii="宋体" w:hAnsi="宋体" w:eastAsia="宋体"/>
          <w:szCs w:val="21"/>
          <w:lang w:eastAsia="zh-CN"/>
        </w:rPr>
      </w:pPr>
      <w:r>
        <w:rPr>
          <w:rFonts w:hint="eastAsia" w:ascii="宋体" w:hAnsi="宋体"/>
          <w:szCs w:val="21"/>
        </w:rPr>
        <w:t>项目名称：</w:t>
      </w:r>
      <w:r>
        <w:rPr>
          <w:rFonts w:hint="eastAsia" w:ascii="宋体" w:hAnsi="宋体"/>
          <w:szCs w:val="21"/>
          <w:lang w:eastAsia="zh-CN"/>
        </w:rPr>
        <w:t>广裕阳春定制类及实训中心会议讨论室办公家具采购项目</w:t>
      </w:r>
    </w:p>
    <w:p w14:paraId="63283AEC">
      <w:pPr>
        <w:spacing w:line="300" w:lineRule="auto"/>
        <w:rPr>
          <w:rFonts w:ascii="宋体" w:hAnsi="宋体"/>
          <w:szCs w:val="21"/>
        </w:rPr>
      </w:pPr>
      <w:r>
        <w:rPr>
          <w:rFonts w:hint="eastAsia" w:ascii="宋体" w:hAnsi="宋体" w:cs="宋体"/>
          <w:szCs w:val="21"/>
        </w:rPr>
        <w:t>项目</w:t>
      </w:r>
      <w:r>
        <w:rPr>
          <w:rFonts w:hint="eastAsia" w:ascii="宋体" w:hAnsi="宋体"/>
          <w:szCs w:val="21"/>
        </w:rPr>
        <w:t xml:space="preserve">编号： </w:t>
      </w:r>
      <w:r>
        <w:rPr>
          <w:rFonts w:hint="eastAsia" w:ascii="宋体" w:hAnsi="宋体"/>
          <w:color w:val="0000FF"/>
          <w:szCs w:val="21"/>
        </w:rPr>
        <w:t xml:space="preserve"> </w:t>
      </w:r>
    </w:p>
    <w:p w14:paraId="08C3798A">
      <w:pPr>
        <w:spacing w:line="360" w:lineRule="auto"/>
        <w:ind w:firstLine="420" w:firstLineChars="200"/>
        <w:rPr>
          <w:rFonts w:ascii="宋体" w:hAnsi="宋体"/>
          <w:szCs w:val="21"/>
        </w:rPr>
      </w:pPr>
    </w:p>
    <w:p w14:paraId="1EE7F954">
      <w:pPr>
        <w:spacing w:line="360" w:lineRule="auto"/>
        <w:ind w:firstLine="420" w:firstLineChars="200"/>
        <w:rPr>
          <w:rFonts w:ascii="宋体" w:hAnsi="宋体"/>
          <w:szCs w:val="21"/>
        </w:rPr>
      </w:pPr>
      <w:r>
        <w:rPr>
          <w:rFonts w:hint="eastAsia" w:ascii="宋体" w:hAnsi="宋体"/>
          <w:szCs w:val="21"/>
        </w:rPr>
        <w:t>根据《中华人民共和国民法典》</w:t>
      </w:r>
      <w:r>
        <w:rPr>
          <w:rFonts w:hint="eastAsia" w:ascii="宋体" w:hAnsi="宋体" w:cs="宋体"/>
          <w:szCs w:val="21"/>
        </w:rPr>
        <w:t>的规定</w:t>
      </w:r>
      <w:r>
        <w:rPr>
          <w:rFonts w:hint="eastAsia" w:ascii="宋体" w:hAnsi="宋体"/>
          <w:kern w:val="28"/>
          <w:szCs w:val="21"/>
        </w:rPr>
        <w:t>及</w:t>
      </w:r>
      <w:r>
        <w:rPr>
          <w:rFonts w:hint="eastAsia" w:ascii="宋体" w:hAnsi="宋体"/>
          <w:kern w:val="28"/>
          <w:szCs w:val="21"/>
          <w:u w:val="single"/>
          <w:lang w:eastAsia="zh-CN"/>
        </w:rPr>
        <w:t>广裕阳春定制类及实训中心会议讨论室办公家具采购项目</w:t>
      </w:r>
      <w:r>
        <w:rPr>
          <w:rFonts w:hint="eastAsia" w:ascii="宋体" w:hAnsi="宋体"/>
          <w:kern w:val="28"/>
          <w:szCs w:val="21"/>
        </w:rPr>
        <w:t>（项目编号：              ）的要求，经双方协商，本着平等互利和诚实信用的原则，一致同意签订本合同。</w:t>
      </w:r>
    </w:p>
    <w:p w14:paraId="31D3860C">
      <w:pPr>
        <w:pageBreakBefore w:val="0"/>
        <w:widowControl w:val="0"/>
        <w:numPr>
          <w:ilvl w:val="0"/>
          <w:numId w:val="27"/>
        </w:numPr>
        <w:tabs>
          <w:tab w:val="left" w:pos="1259"/>
        </w:tabs>
        <w:kinsoku/>
        <w:wordWrap/>
        <w:overflowPunct/>
        <w:topLinePunct w:val="0"/>
        <w:bidi w:val="0"/>
        <w:spacing w:before="0" w:after="0" w:line="360" w:lineRule="auto"/>
        <w:textAlignment w:val="auto"/>
        <w:outlineLvl w:val="9"/>
        <w:rPr>
          <w:rFonts w:ascii="宋体" w:hAnsi="宋体"/>
          <w:b/>
          <w:sz w:val="21"/>
          <w:szCs w:val="21"/>
        </w:rPr>
      </w:pPr>
      <w:r>
        <w:rPr>
          <w:rFonts w:hint="eastAsia" w:ascii="宋体" w:hAnsi="宋体"/>
          <w:b/>
          <w:sz w:val="21"/>
          <w:szCs w:val="21"/>
        </w:rPr>
        <w:t>合同金额</w:t>
      </w:r>
    </w:p>
    <w:tbl>
      <w:tblPr>
        <w:tblStyle w:val="26"/>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516"/>
        <w:gridCol w:w="650"/>
        <w:gridCol w:w="1608"/>
        <w:gridCol w:w="1818"/>
        <w:gridCol w:w="931"/>
      </w:tblGrid>
      <w:tr w14:paraId="1FCBCB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2" w:hRule="atLeast"/>
          <w:jc w:val="center"/>
        </w:trPr>
        <w:tc>
          <w:tcPr>
            <w:tcW w:w="2063" w:type="pct"/>
            <w:vAlign w:val="center"/>
          </w:tcPr>
          <w:p w14:paraId="330DA080">
            <w:pPr>
              <w:spacing w:line="360" w:lineRule="auto"/>
              <w:jc w:val="center"/>
              <w:outlineLvl w:val="9"/>
              <w:rPr>
                <w:rFonts w:ascii="宋体" w:hAnsi="宋体"/>
                <w:b/>
                <w:szCs w:val="21"/>
              </w:rPr>
            </w:pPr>
            <w:r>
              <w:rPr>
                <w:rFonts w:hint="eastAsia" w:ascii="宋体" w:hAnsi="宋体"/>
                <w:b/>
                <w:szCs w:val="21"/>
              </w:rPr>
              <w:t>项目名称</w:t>
            </w:r>
          </w:p>
        </w:tc>
        <w:tc>
          <w:tcPr>
            <w:tcW w:w="381" w:type="pct"/>
            <w:vAlign w:val="center"/>
          </w:tcPr>
          <w:p w14:paraId="0B54F175">
            <w:pPr>
              <w:spacing w:line="360" w:lineRule="auto"/>
              <w:jc w:val="center"/>
              <w:outlineLvl w:val="9"/>
              <w:rPr>
                <w:rFonts w:ascii="宋体" w:hAnsi="宋体"/>
                <w:b/>
                <w:szCs w:val="21"/>
              </w:rPr>
            </w:pPr>
            <w:r>
              <w:rPr>
                <w:rFonts w:hint="eastAsia" w:ascii="宋体" w:hAnsi="宋体"/>
                <w:b/>
                <w:szCs w:val="21"/>
              </w:rPr>
              <w:t>数量</w:t>
            </w:r>
          </w:p>
        </w:tc>
        <w:tc>
          <w:tcPr>
            <w:tcW w:w="943" w:type="pct"/>
            <w:vAlign w:val="center"/>
          </w:tcPr>
          <w:p w14:paraId="7B9A6EA0">
            <w:pPr>
              <w:spacing w:line="360" w:lineRule="auto"/>
              <w:jc w:val="center"/>
              <w:outlineLvl w:val="9"/>
              <w:rPr>
                <w:rFonts w:ascii="宋体" w:hAnsi="宋体"/>
                <w:b/>
                <w:szCs w:val="21"/>
              </w:rPr>
            </w:pPr>
            <w:r>
              <w:rPr>
                <w:rFonts w:hint="eastAsia" w:ascii="宋体" w:hAnsi="宋体"/>
                <w:b/>
                <w:szCs w:val="21"/>
              </w:rPr>
              <w:t>预算金额（元）</w:t>
            </w:r>
          </w:p>
        </w:tc>
        <w:tc>
          <w:tcPr>
            <w:tcW w:w="1066" w:type="pct"/>
            <w:vAlign w:val="center"/>
          </w:tcPr>
          <w:p w14:paraId="649BF6F3">
            <w:pPr>
              <w:spacing w:line="360" w:lineRule="auto"/>
              <w:jc w:val="center"/>
              <w:outlineLvl w:val="9"/>
              <w:rPr>
                <w:rFonts w:ascii="宋体" w:hAnsi="宋体"/>
                <w:b/>
                <w:szCs w:val="21"/>
              </w:rPr>
            </w:pPr>
            <w:r>
              <w:rPr>
                <w:rFonts w:ascii="宋体" w:hAnsi="宋体"/>
                <w:b/>
                <w:szCs w:val="21"/>
              </w:rPr>
              <w:t>成交下浮率</w:t>
            </w:r>
            <w:r>
              <w:rPr>
                <w:rFonts w:hint="eastAsia" w:ascii="宋体" w:hAnsi="宋体"/>
                <w:b/>
                <w:szCs w:val="21"/>
              </w:rPr>
              <w:t>（%）</w:t>
            </w:r>
          </w:p>
        </w:tc>
        <w:tc>
          <w:tcPr>
            <w:tcW w:w="546" w:type="pct"/>
            <w:vAlign w:val="center"/>
          </w:tcPr>
          <w:p w14:paraId="31F3E8BD">
            <w:pPr>
              <w:spacing w:line="360" w:lineRule="auto"/>
              <w:jc w:val="center"/>
              <w:outlineLvl w:val="9"/>
              <w:rPr>
                <w:rFonts w:ascii="宋体" w:hAnsi="宋体"/>
                <w:b/>
                <w:szCs w:val="21"/>
              </w:rPr>
            </w:pPr>
            <w:r>
              <w:rPr>
                <w:rFonts w:ascii="宋体" w:hAnsi="宋体"/>
                <w:b/>
                <w:szCs w:val="21"/>
              </w:rPr>
              <w:t>备注</w:t>
            </w:r>
          </w:p>
        </w:tc>
      </w:tr>
      <w:tr w14:paraId="7234AD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69" w:hRule="atLeast"/>
          <w:jc w:val="center"/>
        </w:trPr>
        <w:tc>
          <w:tcPr>
            <w:tcW w:w="2063" w:type="pct"/>
            <w:vAlign w:val="center"/>
          </w:tcPr>
          <w:p w14:paraId="3F78921A">
            <w:pPr>
              <w:spacing w:line="360" w:lineRule="auto"/>
              <w:jc w:val="center"/>
              <w:outlineLvl w:val="9"/>
              <w:rPr>
                <w:rFonts w:hint="eastAsia" w:ascii="宋体" w:hAnsi="宋体" w:eastAsia="宋体"/>
                <w:lang w:eastAsia="zh-CN"/>
              </w:rPr>
            </w:pPr>
            <w:r>
              <w:rPr>
                <w:rFonts w:hint="eastAsia" w:ascii="宋体" w:hAnsi="宋体"/>
                <w:lang w:eastAsia="zh-CN"/>
              </w:rPr>
              <w:t>广裕阳春定制类及实训中心会议讨论室办公家具采购项目</w:t>
            </w:r>
          </w:p>
        </w:tc>
        <w:tc>
          <w:tcPr>
            <w:tcW w:w="381" w:type="pct"/>
            <w:vAlign w:val="center"/>
          </w:tcPr>
          <w:p w14:paraId="2AB92054">
            <w:pPr>
              <w:spacing w:line="360" w:lineRule="auto"/>
              <w:jc w:val="center"/>
              <w:outlineLvl w:val="9"/>
              <w:rPr>
                <w:rFonts w:ascii="宋体" w:hAnsi="宋体"/>
                <w:szCs w:val="21"/>
              </w:rPr>
            </w:pPr>
            <w:r>
              <w:rPr>
                <w:rFonts w:hint="eastAsia" w:ascii="宋体" w:hAnsi="宋体"/>
                <w:szCs w:val="21"/>
              </w:rPr>
              <w:t>1批</w:t>
            </w:r>
          </w:p>
        </w:tc>
        <w:tc>
          <w:tcPr>
            <w:tcW w:w="943" w:type="pct"/>
            <w:vAlign w:val="center"/>
          </w:tcPr>
          <w:p w14:paraId="66033019">
            <w:pPr>
              <w:spacing w:line="360" w:lineRule="auto"/>
              <w:outlineLvl w:val="9"/>
              <w:rPr>
                <w:rFonts w:ascii="宋体" w:hAnsi="宋体"/>
                <w:szCs w:val="21"/>
                <w:u w:val="single"/>
              </w:rPr>
            </w:pPr>
            <w:r>
              <w:rPr>
                <w:rFonts w:hint="eastAsia" w:ascii="宋体" w:hAnsi="宋体"/>
                <w:szCs w:val="21"/>
                <w:u w:val="single"/>
              </w:rPr>
              <w:t xml:space="preserve">        </w:t>
            </w:r>
          </w:p>
        </w:tc>
        <w:tc>
          <w:tcPr>
            <w:tcW w:w="1066" w:type="pct"/>
            <w:vAlign w:val="center"/>
          </w:tcPr>
          <w:p w14:paraId="378F936C">
            <w:pPr>
              <w:spacing w:line="360" w:lineRule="auto"/>
              <w:jc w:val="center"/>
              <w:outlineLvl w:val="9"/>
              <w:rPr>
                <w:rFonts w:ascii="宋体" w:hAnsi="宋体"/>
                <w:szCs w:val="21"/>
              </w:rPr>
            </w:pPr>
            <w:r>
              <w:rPr>
                <w:rFonts w:hint="eastAsia" w:ascii="宋体" w:hAnsi="宋体"/>
                <w:szCs w:val="21"/>
                <w:u w:val="single"/>
              </w:rPr>
              <w:t xml:space="preserve">     </w:t>
            </w:r>
            <w:r>
              <w:rPr>
                <w:rFonts w:hint="eastAsia" w:ascii="宋体" w:hAnsi="宋体"/>
                <w:szCs w:val="21"/>
              </w:rPr>
              <w:t>%</w:t>
            </w:r>
          </w:p>
        </w:tc>
        <w:tc>
          <w:tcPr>
            <w:tcW w:w="546" w:type="pct"/>
            <w:vAlign w:val="center"/>
          </w:tcPr>
          <w:p w14:paraId="429AA282">
            <w:pPr>
              <w:spacing w:line="360" w:lineRule="auto"/>
              <w:jc w:val="center"/>
              <w:outlineLvl w:val="9"/>
              <w:rPr>
                <w:rFonts w:ascii="宋体" w:hAnsi="宋体"/>
                <w:szCs w:val="21"/>
              </w:rPr>
            </w:pPr>
          </w:p>
        </w:tc>
      </w:tr>
    </w:tbl>
    <w:p w14:paraId="05E2DBCC">
      <w:pPr>
        <w:pageBreakBefore w:val="0"/>
        <w:widowControl w:val="0"/>
        <w:kinsoku/>
        <w:wordWrap/>
        <w:overflowPunct/>
        <w:topLinePunct w:val="0"/>
        <w:autoSpaceDE w:val="0"/>
        <w:autoSpaceDN w:val="0"/>
        <w:bidi w:val="0"/>
        <w:adjustRightInd w:val="0"/>
        <w:spacing w:line="360" w:lineRule="auto"/>
        <w:jc w:val="left"/>
        <w:textAlignment w:val="auto"/>
        <w:outlineLvl w:val="9"/>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合同金额为（大写）：_____________元（￥______________元）。合同金额包括</w:t>
      </w:r>
      <w:r>
        <w:rPr>
          <w:rFonts w:hint="eastAsia" w:ascii="宋体" w:hAnsi="宋体" w:eastAsia="宋体" w:cs="宋体"/>
          <w:sz w:val="21"/>
          <w:szCs w:val="21"/>
        </w:rPr>
        <w:t>包含货物、人工、运输、安装、搬运、调试、质保、税费等完成本合同所需的一切费用，</w:t>
      </w:r>
      <w:r>
        <w:rPr>
          <w:rFonts w:hint="eastAsia" w:ascii="宋体" w:hAnsi="宋体" w:eastAsia="宋体" w:cs="宋体"/>
          <w:kern w:val="0"/>
          <w:sz w:val="21"/>
          <w:szCs w:val="21"/>
          <w:lang w:val="zh-CN"/>
        </w:rPr>
        <w:t>在项目实施过程中如有遗漏，均由乙方支付，甲方不再另行支付任何费用。</w:t>
      </w:r>
    </w:p>
    <w:p w14:paraId="02362248">
      <w:pPr>
        <w:pageBreakBefore w:val="0"/>
        <w:widowControl w:val="0"/>
        <w:kinsoku/>
        <w:wordWrap/>
        <w:overflowPunct/>
        <w:topLinePunct w:val="0"/>
        <w:autoSpaceDE w:val="0"/>
        <w:autoSpaceDN w:val="0"/>
        <w:bidi w:val="0"/>
        <w:adjustRightInd w:val="0"/>
        <w:spacing w:line="360" w:lineRule="auto"/>
        <w:jc w:val="left"/>
        <w:textAlignment w:val="auto"/>
        <w:outlineLvl w:val="9"/>
        <w:rPr>
          <w:rFonts w:hint="eastAsia" w:ascii="宋体" w:hAnsi="宋体" w:eastAsia="宋体" w:cs="宋体"/>
          <w:sz w:val="21"/>
          <w:szCs w:val="21"/>
        </w:rPr>
      </w:pPr>
      <w:r>
        <w:rPr>
          <w:rFonts w:hint="eastAsia" w:ascii="宋体" w:hAnsi="宋体" w:eastAsia="宋体" w:cs="宋体"/>
          <w:kern w:val="0"/>
          <w:sz w:val="21"/>
          <w:szCs w:val="21"/>
          <w:lang w:val="zh-CN"/>
        </w:rPr>
        <w:t>注：货物名称、材质、规格、参数、配置等内容必须与投标文件和本合同配置清单中货物名称内容一致。</w:t>
      </w:r>
    </w:p>
    <w:p w14:paraId="42EBEA62">
      <w:pPr>
        <w:pageBreakBefore w:val="0"/>
        <w:widowControl w:val="0"/>
        <w:numPr>
          <w:ilvl w:val="0"/>
          <w:numId w:val="27"/>
        </w:numPr>
        <w:tabs>
          <w:tab w:val="left" w:pos="1259"/>
        </w:tabs>
        <w:kinsoku/>
        <w:wordWrap/>
        <w:overflowPunct/>
        <w:topLinePunct w:val="0"/>
        <w:bidi w:val="0"/>
        <w:spacing w:before="0" w:after="0"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rPr>
        <w:t>项目名称：</w:t>
      </w:r>
    </w:p>
    <w:p w14:paraId="741ACB3F">
      <w:pPr>
        <w:pStyle w:val="22"/>
        <w:pageBreakBefore w:val="0"/>
        <w:widowControl w:val="0"/>
        <w:tabs>
          <w:tab w:val="left" w:pos="540"/>
        </w:tabs>
        <w:kinsoku/>
        <w:wordWrap/>
        <w:overflowPunct/>
        <w:topLinePunct w:val="0"/>
        <w:bidi w:val="0"/>
        <w:adjustRightInd w:val="0"/>
        <w:snapToGrid w:val="0"/>
        <w:spacing w:before="0" w:beforeAutospacing="0" w:after="0" w:afterAutospacing="0" w:line="360" w:lineRule="auto"/>
        <w:ind w:firstLine="420" w:firstLineChars="200"/>
        <w:jc w:val="both"/>
        <w:textAlignment w:val="auto"/>
        <w:outlineLvl w:val="9"/>
        <w:rPr>
          <w:rFonts w:hint="eastAsia" w:ascii="宋体" w:hAnsi="宋体" w:eastAsia="宋体" w:cs="宋体"/>
          <w:b/>
          <w:bCs/>
          <w:sz w:val="21"/>
          <w:szCs w:val="21"/>
          <w:lang w:eastAsia="zh-CN"/>
        </w:rPr>
      </w:pPr>
      <w:r>
        <w:rPr>
          <w:rFonts w:hint="eastAsia" w:ascii="宋体" w:hAnsi="宋体" w:eastAsia="宋体" w:cs="宋体"/>
          <w:sz w:val="21"/>
          <w:szCs w:val="21"/>
          <w:lang w:eastAsia="zh-CN" w:bidi="ar"/>
        </w:rPr>
        <w:t>广裕阳春定制类及实训中心会议讨论室办公家具采购项目</w:t>
      </w:r>
    </w:p>
    <w:p w14:paraId="633F8434">
      <w:pPr>
        <w:pageBreakBefore w:val="0"/>
        <w:widowControl w:val="0"/>
        <w:numPr>
          <w:ilvl w:val="0"/>
          <w:numId w:val="27"/>
        </w:numPr>
        <w:tabs>
          <w:tab w:val="left" w:pos="1259"/>
        </w:tabs>
        <w:kinsoku/>
        <w:wordWrap/>
        <w:overflowPunct/>
        <w:topLinePunct w:val="0"/>
        <w:bidi w:val="0"/>
        <w:spacing w:before="0" w:after="0"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rPr>
        <w:t>项目交货地址：</w:t>
      </w:r>
    </w:p>
    <w:p w14:paraId="6C2B7E9B">
      <w:pPr>
        <w:pStyle w:val="22"/>
        <w:pageBreakBefore w:val="0"/>
        <w:widowControl w:val="0"/>
        <w:tabs>
          <w:tab w:val="left" w:pos="540"/>
        </w:tabs>
        <w:kinsoku/>
        <w:wordWrap/>
        <w:overflowPunct/>
        <w:topLinePunct w:val="0"/>
        <w:bidi w:val="0"/>
        <w:adjustRightInd w:val="0"/>
        <w:snapToGrid w:val="0"/>
        <w:spacing w:before="0" w:beforeAutospacing="0" w:after="0" w:afterAutospacing="0" w:line="360" w:lineRule="auto"/>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bidi="ar"/>
        </w:rPr>
        <w:t>广东省阳春市松柏镇一号大院，</w:t>
      </w:r>
      <w:r>
        <w:rPr>
          <w:rFonts w:hint="eastAsia" w:ascii="宋体" w:hAnsi="宋体" w:eastAsia="宋体" w:cs="宋体"/>
          <w:sz w:val="21"/>
          <w:szCs w:val="21"/>
          <w:lang w:val="en-US" w:eastAsia="zh-CN" w:bidi="ar"/>
        </w:rPr>
        <w:t>定制类的柜子需送至广裕阳春生产区内，家具均无需上楼</w:t>
      </w:r>
      <w:r>
        <w:rPr>
          <w:rFonts w:hint="eastAsia" w:ascii="宋体" w:hAnsi="宋体" w:eastAsia="宋体" w:cs="宋体"/>
          <w:sz w:val="21"/>
          <w:szCs w:val="21"/>
          <w:lang w:bidi="ar"/>
        </w:rPr>
        <w:t>。</w:t>
      </w:r>
    </w:p>
    <w:p w14:paraId="4D55CEAC">
      <w:pPr>
        <w:pageBreakBefore w:val="0"/>
        <w:widowControl w:val="0"/>
        <w:numPr>
          <w:ilvl w:val="0"/>
          <w:numId w:val="27"/>
        </w:numPr>
        <w:tabs>
          <w:tab w:val="left" w:pos="1259"/>
        </w:tabs>
        <w:kinsoku/>
        <w:wordWrap/>
        <w:overflowPunct/>
        <w:topLinePunct w:val="0"/>
        <w:bidi w:val="0"/>
        <w:spacing w:before="0" w:after="0"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rPr>
        <w:t>成交方式：</w:t>
      </w:r>
    </w:p>
    <w:p w14:paraId="7EC299F8">
      <w:pPr>
        <w:pStyle w:val="22"/>
        <w:pageBreakBefore w:val="0"/>
        <w:widowControl w:val="0"/>
        <w:tabs>
          <w:tab w:val="left" w:pos="540"/>
        </w:tabs>
        <w:kinsoku/>
        <w:wordWrap/>
        <w:overflowPunct/>
        <w:topLinePunct w:val="0"/>
        <w:autoSpaceDE/>
        <w:autoSpaceDN/>
        <w:bidi w:val="0"/>
        <w:adjustRightInd w:val="0"/>
        <w:snapToGrid w:val="0"/>
        <w:spacing w:before="0" w:beforeAutospacing="0" w:after="0" w:afterAutospacing="0" w:line="360" w:lineRule="auto"/>
        <w:ind w:firstLine="420" w:firstLineChars="200"/>
        <w:jc w:val="both"/>
        <w:textAlignment w:val="auto"/>
        <w:outlineLvl w:val="9"/>
        <w:rPr>
          <w:rFonts w:hint="eastAsia" w:ascii="宋体" w:hAnsi="宋体" w:eastAsia="宋体" w:cs="宋体"/>
          <w:b/>
          <w:bCs/>
          <w:sz w:val="21"/>
          <w:szCs w:val="21"/>
        </w:rPr>
      </w:pPr>
      <w:r>
        <w:rPr>
          <w:rFonts w:hint="eastAsia" w:ascii="宋体" w:hAnsi="宋体" w:eastAsia="宋体" w:cs="宋体"/>
          <w:sz w:val="21"/>
          <w:szCs w:val="21"/>
          <w:lang w:bidi="ar"/>
        </w:rPr>
        <w:t>采用同等质量、同等标准、最低价成交</w:t>
      </w:r>
    </w:p>
    <w:p w14:paraId="0BA98D55">
      <w:pPr>
        <w:pageBreakBefore w:val="0"/>
        <w:widowControl w:val="0"/>
        <w:numPr>
          <w:ilvl w:val="0"/>
          <w:numId w:val="27"/>
        </w:numPr>
        <w:tabs>
          <w:tab w:val="left" w:pos="1259"/>
        </w:tabs>
        <w:kinsoku/>
        <w:wordWrap/>
        <w:overflowPunct/>
        <w:topLinePunct w:val="0"/>
        <w:bidi w:val="0"/>
        <w:spacing w:before="0" w:after="0"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rPr>
        <w:t>最高限价：</w:t>
      </w:r>
    </w:p>
    <w:p w14:paraId="403CFAA2">
      <w:pPr>
        <w:pStyle w:val="22"/>
        <w:pageBreakBefore w:val="0"/>
        <w:widowControl w:val="0"/>
        <w:tabs>
          <w:tab w:val="left" w:pos="540"/>
        </w:tabs>
        <w:kinsoku/>
        <w:wordWrap/>
        <w:overflowPunct/>
        <w:topLinePunct w:val="0"/>
        <w:autoSpaceDE/>
        <w:autoSpaceDN/>
        <w:bidi w:val="0"/>
        <w:adjustRightInd w:val="0"/>
        <w:snapToGrid w:val="0"/>
        <w:spacing w:before="0" w:beforeAutospacing="0" w:after="0" w:afterAutospacing="0" w:line="360" w:lineRule="auto"/>
        <w:ind w:firstLine="420" w:firstLineChars="200"/>
        <w:jc w:val="both"/>
        <w:textAlignment w:val="auto"/>
        <w:outlineLvl w:val="9"/>
        <w:rPr>
          <w:rFonts w:hint="eastAsia" w:ascii="宋体" w:hAnsi="宋体" w:eastAsia="宋体" w:cs="宋体"/>
          <w:sz w:val="21"/>
          <w:szCs w:val="21"/>
          <w:lang w:bidi="ar"/>
        </w:rPr>
      </w:pPr>
      <w:r>
        <w:rPr>
          <w:rFonts w:hint="eastAsia" w:ascii="宋体" w:hAnsi="宋体" w:eastAsia="宋体" w:cs="宋体"/>
          <w:sz w:val="21"/>
          <w:szCs w:val="21"/>
          <w:lang w:bidi="ar"/>
        </w:rPr>
        <w:t>人民币</w:t>
      </w:r>
      <w:r>
        <w:rPr>
          <w:rFonts w:hint="eastAsia" w:ascii="宋体" w:hAnsi="宋体" w:eastAsia="宋体" w:cs="宋体"/>
          <w:sz w:val="21"/>
          <w:szCs w:val="21"/>
          <w:u w:val="single"/>
          <w:lang w:val="en-US" w:eastAsia="zh-CN" w:bidi="ar"/>
        </w:rPr>
        <w:t>100239.10</w:t>
      </w:r>
      <w:r>
        <w:rPr>
          <w:rFonts w:hint="eastAsia" w:ascii="宋体" w:hAnsi="宋体" w:eastAsia="宋体" w:cs="宋体"/>
          <w:sz w:val="21"/>
          <w:szCs w:val="21"/>
          <w:u w:val="single"/>
          <w:lang w:bidi="ar"/>
        </w:rPr>
        <w:t xml:space="preserve"> </w:t>
      </w:r>
      <w:r>
        <w:rPr>
          <w:rFonts w:hint="eastAsia" w:ascii="宋体" w:hAnsi="宋体" w:eastAsia="宋体" w:cs="宋体"/>
          <w:sz w:val="21"/>
          <w:szCs w:val="21"/>
          <w:lang w:bidi="ar"/>
        </w:rPr>
        <w:t>元</w:t>
      </w:r>
    </w:p>
    <w:p w14:paraId="770AD8C4">
      <w:pPr>
        <w:pageBreakBefore w:val="0"/>
        <w:widowControl w:val="0"/>
        <w:numPr>
          <w:ilvl w:val="0"/>
          <w:numId w:val="27"/>
        </w:numPr>
        <w:tabs>
          <w:tab w:val="left" w:pos="1259"/>
        </w:tabs>
        <w:kinsoku/>
        <w:wordWrap/>
        <w:overflowPunct/>
        <w:topLinePunct w:val="0"/>
        <w:bidi w:val="0"/>
        <w:spacing w:before="0" w:after="0" w:line="360" w:lineRule="auto"/>
        <w:textAlignment w:val="auto"/>
        <w:outlineLvl w:val="9"/>
        <w:rPr>
          <w:rFonts w:hint="eastAsia" w:ascii="宋体" w:hAnsi="宋体" w:eastAsia="宋体" w:cs="宋体"/>
          <w:kern w:val="0"/>
          <w:sz w:val="21"/>
          <w:szCs w:val="21"/>
          <w:lang w:bidi="ar"/>
        </w:rPr>
      </w:pPr>
      <w:r>
        <w:rPr>
          <w:rFonts w:hint="eastAsia" w:ascii="宋体" w:hAnsi="宋体" w:eastAsia="宋体" w:cs="宋体"/>
          <w:sz w:val="21"/>
          <w:szCs w:val="21"/>
        </w:rPr>
        <w:t>采购清单</w:t>
      </w:r>
    </w:p>
    <w:tbl>
      <w:tblPr>
        <w:tblStyle w:val="26"/>
        <w:tblW w:w="8337" w:type="dxa"/>
        <w:tblInd w:w="0" w:type="dxa"/>
        <w:tblLayout w:type="autofit"/>
        <w:tblCellMar>
          <w:top w:w="0" w:type="dxa"/>
          <w:left w:w="108" w:type="dxa"/>
          <w:bottom w:w="0" w:type="dxa"/>
          <w:right w:w="108" w:type="dxa"/>
        </w:tblCellMar>
      </w:tblPr>
      <w:tblGrid>
        <w:gridCol w:w="611"/>
        <w:gridCol w:w="1786"/>
        <w:gridCol w:w="878"/>
        <w:gridCol w:w="890"/>
        <w:gridCol w:w="1420"/>
        <w:gridCol w:w="1240"/>
        <w:gridCol w:w="1512"/>
      </w:tblGrid>
      <w:tr w14:paraId="37255622">
        <w:tblPrEx>
          <w:tblCellMar>
            <w:top w:w="0" w:type="dxa"/>
            <w:left w:w="108" w:type="dxa"/>
            <w:bottom w:w="0" w:type="dxa"/>
            <w:right w:w="108" w:type="dxa"/>
          </w:tblCellMar>
        </w:tblPrEx>
        <w:trPr>
          <w:trHeight w:val="639"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44A82">
            <w:pPr>
              <w:widowControl/>
              <w:jc w:val="center"/>
              <w:textAlignment w:val="center"/>
              <w:outlineLvl w:val="9"/>
              <w:rPr>
                <w:rFonts w:ascii="宋体" w:hAnsi="宋体" w:cs="宋体"/>
                <w:b/>
                <w:bCs/>
                <w:color w:val="000000"/>
                <w:szCs w:val="21"/>
              </w:rPr>
            </w:pPr>
            <w:r>
              <w:rPr>
                <w:rFonts w:hint="eastAsia" w:ascii="宋体" w:hAnsi="宋体" w:cs="宋体"/>
                <w:b/>
                <w:bCs/>
                <w:color w:val="000000"/>
                <w:kern w:val="0"/>
                <w:szCs w:val="21"/>
                <w:lang w:bidi="ar"/>
              </w:rPr>
              <w:t>序号</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46498">
            <w:pPr>
              <w:widowControl/>
              <w:jc w:val="center"/>
              <w:textAlignment w:val="center"/>
              <w:outlineLvl w:val="9"/>
              <w:rPr>
                <w:rFonts w:ascii="宋体" w:hAnsi="宋体" w:cs="宋体"/>
                <w:b/>
                <w:bCs/>
                <w:color w:val="000000"/>
                <w:szCs w:val="21"/>
              </w:rPr>
            </w:pPr>
            <w:r>
              <w:rPr>
                <w:rFonts w:hint="eastAsia" w:ascii="宋体" w:hAnsi="宋体" w:cs="宋体"/>
                <w:b/>
                <w:bCs/>
                <w:color w:val="000000"/>
                <w:kern w:val="0"/>
                <w:szCs w:val="21"/>
                <w:lang w:bidi="ar"/>
              </w:rPr>
              <w:t>产品名称</w:t>
            </w: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EAB4C">
            <w:pPr>
              <w:widowControl/>
              <w:jc w:val="center"/>
              <w:textAlignment w:val="center"/>
              <w:outlineLvl w:val="9"/>
              <w:rPr>
                <w:rFonts w:ascii="宋体" w:hAnsi="宋体" w:cs="宋体"/>
                <w:b/>
                <w:bCs/>
                <w:color w:val="000000"/>
                <w:szCs w:val="21"/>
              </w:rPr>
            </w:pPr>
            <w:r>
              <w:rPr>
                <w:rFonts w:hint="eastAsia" w:ascii="宋体" w:hAnsi="宋体" w:cs="宋体"/>
                <w:b/>
                <w:bCs/>
                <w:color w:val="000000"/>
                <w:kern w:val="0"/>
                <w:szCs w:val="21"/>
                <w:lang w:bidi="ar"/>
              </w:rPr>
              <w:t>数量</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7FBC7">
            <w:pPr>
              <w:widowControl/>
              <w:jc w:val="center"/>
              <w:textAlignment w:val="center"/>
              <w:outlineLvl w:val="9"/>
              <w:rPr>
                <w:rFonts w:ascii="宋体" w:hAnsi="宋体" w:cs="宋体"/>
                <w:b/>
                <w:bCs/>
                <w:color w:val="000000"/>
                <w:szCs w:val="21"/>
              </w:rPr>
            </w:pPr>
            <w:r>
              <w:rPr>
                <w:rFonts w:hint="eastAsia" w:ascii="宋体" w:hAnsi="宋体" w:cs="宋体"/>
                <w:b/>
                <w:bCs/>
                <w:color w:val="000000"/>
                <w:kern w:val="0"/>
                <w:szCs w:val="21"/>
                <w:lang w:bidi="ar"/>
              </w:rPr>
              <w:t>单位</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C373D">
            <w:pPr>
              <w:widowControl/>
              <w:jc w:val="center"/>
              <w:textAlignment w:val="center"/>
              <w:outlineLvl w:val="9"/>
              <w:rPr>
                <w:rFonts w:ascii="宋体" w:hAnsi="宋体" w:cs="宋体"/>
                <w:b/>
                <w:bCs/>
                <w:color w:val="000000"/>
                <w:szCs w:val="21"/>
              </w:rPr>
            </w:pPr>
            <w:r>
              <w:rPr>
                <w:rFonts w:hint="eastAsia" w:ascii="宋体" w:hAnsi="宋体" w:cs="宋体"/>
                <w:b/>
                <w:bCs/>
                <w:color w:val="000000"/>
                <w:kern w:val="0"/>
                <w:szCs w:val="21"/>
                <w:lang w:bidi="ar"/>
              </w:rPr>
              <w:t>单价限价（元）</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D07B9">
            <w:pPr>
              <w:widowControl/>
              <w:jc w:val="center"/>
              <w:textAlignment w:val="center"/>
              <w:outlineLvl w:val="9"/>
              <w:rPr>
                <w:rFonts w:ascii="宋体" w:hAnsi="宋体" w:cs="宋体"/>
                <w:b/>
                <w:bCs/>
                <w:color w:val="000000"/>
                <w:szCs w:val="21"/>
              </w:rPr>
            </w:pPr>
            <w:r>
              <w:rPr>
                <w:rFonts w:hint="eastAsia" w:ascii="宋体" w:hAnsi="宋体" w:cs="宋体"/>
                <w:b/>
                <w:bCs/>
                <w:color w:val="000000"/>
                <w:kern w:val="0"/>
                <w:szCs w:val="21"/>
                <w:lang w:bidi="ar"/>
              </w:rPr>
              <w:t>小计限价（元）</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65E8D">
            <w:pPr>
              <w:widowControl/>
              <w:jc w:val="center"/>
              <w:textAlignment w:val="center"/>
              <w:outlineLvl w:val="9"/>
              <w:rPr>
                <w:rFonts w:ascii="宋体" w:hAnsi="宋体" w:cs="宋体"/>
                <w:b/>
                <w:bCs/>
                <w:color w:val="000000"/>
                <w:szCs w:val="21"/>
              </w:rPr>
            </w:pPr>
            <w:r>
              <w:rPr>
                <w:rFonts w:hint="eastAsia" w:ascii="宋体" w:hAnsi="宋体" w:cs="宋体"/>
                <w:b/>
                <w:bCs/>
                <w:color w:val="000000"/>
                <w:kern w:val="0"/>
                <w:szCs w:val="21"/>
                <w:lang w:bidi="ar"/>
              </w:rPr>
              <w:t>备注</w:t>
            </w:r>
          </w:p>
        </w:tc>
      </w:tr>
      <w:tr w14:paraId="320A8083">
        <w:tblPrEx>
          <w:tblCellMar>
            <w:top w:w="0" w:type="dxa"/>
            <w:left w:w="108" w:type="dxa"/>
            <w:bottom w:w="0" w:type="dxa"/>
            <w:right w:w="108" w:type="dxa"/>
          </w:tblCellMar>
        </w:tblPrEx>
        <w:trPr>
          <w:trHeight w:val="78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0B07">
            <w:pPr>
              <w:widowControl/>
              <w:jc w:val="center"/>
              <w:textAlignment w:val="center"/>
              <w:outlineLvl w:val="9"/>
              <w:rPr>
                <w:rFonts w:ascii="宋体" w:hAnsi="宋体" w:cs="宋体"/>
                <w:color w:val="000000"/>
                <w:szCs w:val="21"/>
              </w:rPr>
            </w:pPr>
            <w:r>
              <w:rPr>
                <w:rFonts w:hint="eastAsia" w:ascii="宋体" w:hAnsi="宋体" w:cs="宋体"/>
                <w:color w:val="000000"/>
                <w:kern w:val="0"/>
                <w:szCs w:val="21"/>
                <w:lang w:bidi="ar"/>
              </w:rPr>
              <w:t>1</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5E983">
            <w:pPr>
              <w:keepNext w:val="0"/>
              <w:keepLines w:val="0"/>
              <w:widowControl/>
              <w:suppressLineNumbers w:val="0"/>
              <w:jc w:val="center"/>
              <w:textAlignment w:val="center"/>
              <w:outlineLvl w:val="9"/>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定制柜（高柜）</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2564">
            <w:pPr>
              <w:keepNext w:val="0"/>
              <w:keepLines w:val="0"/>
              <w:widowControl/>
              <w:suppressLineNumbers w:val="0"/>
              <w:jc w:val="center"/>
              <w:textAlignment w:val="center"/>
              <w:outlineLvl w:val="9"/>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4FF4D">
            <w:pPr>
              <w:keepNext w:val="0"/>
              <w:keepLines w:val="0"/>
              <w:widowControl/>
              <w:suppressLineNumbers w:val="0"/>
              <w:jc w:val="center"/>
              <w:textAlignment w:val="center"/>
              <w:outlineLvl w:val="9"/>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个</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4DF9">
            <w:pPr>
              <w:keepNext w:val="0"/>
              <w:keepLines w:val="0"/>
              <w:widowControl/>
              <w:suppressLineNumbers w:val="0"/>
              <w:jc w:val="center"/>
              <w:textAlignment w:val="center"/>
              <w:outlineLvl w:val="9"/>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 xml:space="preserve">2269.27 </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FB90C">
            <w:pPr>
              <w:keepNext w:val="0"/>
              <w:keepLines w:val="0"/>
              <w:widowControl/>
              <w:suppressLineNumbers w:val="0"/>
              <w:jc w:val="center"/>
              <w:textAlignment w:val="center"/>
              <w:outlineLvl w:val="9"/>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 xml:space="preserve">2269.27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A9475">
            <w:pPr>
              <w:widowControl/>
              <w:jc w:val="center"/>
              <w:textAlignment w:val="center"/>
              <w:outlineLvl w:val="9"/>
              <w:rPr>
                <w:rFonts w:ascii="宋体" w:hAnsi="宋体" w:cs="宋体"/>
                <w:color w:val="000000"/>
                <w:szCs w:val="21"/>
              </w:rPr>
            </w:pPr>
            <w:r>
              <w:rPr>
                <w:rFonts w:hint="eastAsia" w:ascii="宋体" w:hAnsi="宋体" w:cs="宋体"/>
                <w:color w:val="000000"/>
                <w:kern w:val="0"/>
                <w:szCs w:val="21"/>
                <w:lang w:bidi="ar"/>
              </w:rPr>
              <w:t>阳春实业公司</w:t>
            </w:r>
          </w:p>
        </w:tc>
      </w:tr>
      <w:tr w14:paraId="6CC6E39B">
        <w:tblPrEx>
          <w:tblCellMar>
            <w:top w:w="0" w:type="dxa"/>
            <w:left w:w="108" w:type="dxa"/>
            <w:bottom w:w="0" w:type="dxa"/>
            <w:right w:w="108" w:type="dxa"/>
          </w:tblCellMar>
        </w:tblPrEx>
        <w:trPr>
          <w:trHeight w:val="70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030FA">
            <w:pPr>
              <w:widowControl/>
              <w:jc w:val="center"/>
              <w:textAlignment w:val="center"/>
              <w:outlineLvl w:val="9"/>
              <w:rPr>
                <w:rFonts w:ascii="宋体" w:hAnsi="宋体" w:cs="宋体"/>
                <w:color w:val="000000"/>
                <w:szCs w:val="21"/>
              </w:rPr>
            </w:pPr>
            <w:r>
              <w:rPr>
                <w:rFonts w:hint="eastAsia" w:ascii="宋体" w:hAnsi="宋体" w:cs="宋体"/>
                <w:color w:val="000000"/>
                <w:kern w:val="0"/>
                <w:szCs w:val="21"/>
                <w:lang w:bidi="ar"/>
              </w:rPr>
              <w:t>2</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4C58">
            <w:pPr>
              <w:keepNext w:val="0"/>
              <w:keepLines w:val="0"/>
              <w:widowControl/>
              <w:suppressLineNumbers w:val="0"/>
              <w:jc w:val="center"/>
              <w:textAlignment w:val="center"/>
              <w:outlineLvl w:val="9"/>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定制柜（高柜）</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87098">
            <w:pPr>
              <w:keepNext w:val="0"/>
              <w:keepLines w:val="0"/>
              <w:widowControl/>
              <w:suppressLineNumbers w:val="0"/>
              <w:jc w:val="center"/>
              <w:textAlignment w:val="center"/>
              <w:outlineLvl w:val="9"/>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5F95">
            <w:pPr>
              <w:keepNext w:val="0"/>
              <w:keepLines w:val="0"/>
              <w:widowControl/>
              <w:suppressLineNumbers w:val="0"/>
              <w:jc w:val="center"/>
              <w:textAlignment w:val="center"/>
              <w:outlineLvl w:val="9"/>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个</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F07E">
            <w:pPr>
              <w:keepNext w:val="0"/>
              <w:keepLines w:val="0"/>
              <w:widowControl/>
              <w:suppressLineNumbers w:val="0"/>
              <w:jc w:val="center"/>
              <w:textAlignment w:val="center"/>
              <w:outlineLvl w:val="9"/>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 xml:space="preserve">2269.27 </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7C10E">
            <w:pPr>
              <w:keepNext w:val="0"/>
              <w:keepLines w:val="0"/>
              <w:widowControl/>
              <w:suppressLineNumbers w:val="0"/>
              <w:jc w:val="center"/>
              <w:textAlignment w:val="center"/>
              <w:outlineLvl w:val="9"/>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 xml:space="preserve">2269.27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01DEC">
            <w:pPr>
              <w:widowControl/>
              <w:jc w:val="center"/>
              <w:textAlignment w:val="center"/>
              <w:outlineLvl w:val="9"/>
              <w:rPr>
                <w:rFonts w:ascii="宋体" w:hAnsi="宋体" w:cs="宋体"/>
                <w:color w:val="000000"/>
                <w:szCs w:val="21"/>
              </w:rPr>
            </w:pPr>
            <w:r>
              <w:rPr>
                <w:rFonts w:hint="eastAsia" w:ascii="宋体" w:hAnsi="宋体" w:cs="宋体"/>
                <w:color w:val="000000"/>
                <w:kern w:val="0"/>
                <w:szCs w:val="21"/>
                <w:lang w:bidi="ar"/>
              </w:rPr>
              <w:t>阳春实业公司</w:t>
            </w:r>
          </w:p>
        </w:tc>
      </w:tr>
      <w:tr w14:paraId="07D8ABBB">
        <w:tblPrEx>
          <w:tblCellMar>
            <w:top w:w="0" w:type="dxa"/>
            <w:left w:w="108" w:type="dxa"/>
            <w:bottom w:w="0" w:type="dxa"/>
            <w:right w:w="108" w:type="dxa"/>
          </w:tblCellMar>
        </w:tblPrEx>
        <w:trPr>
          <w:trHeight w:val="70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3059A">
            <w:pPr>
              <w:widowControl/>
              <w:jc w:val="center"/>
              <w:textAlignment w:val="center"/>
              <w:outlineLvl w:val="9"/>
              <w:rPr>
                <w:rFonts w:ascii="宋体" w:hAnsi="宋体" w:cs="宋体"/>
                <w:color w:val="000000"/>
                <w:szCs w:val="21"/>
              </w:rPr>
            </w:pPr>
            <w:r>
              <w:rPr>
                <w:rFonts w:hint="eastAsia" w:ascii="宋体" w:hAnsi="宋体" w:cs="宋体"/>
                <w:color w:val="000000"/>
                <w:kern w:val="0"/>
                <w:szCs w:val="21"/>
                <w:lang w:bidi="ar"/>
              </w:rPr>
              <w:t>3</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510AD">
            <w:pPr>
              <w:keepNext w:val="0"/>
              <w:keepLines w:val="0"/>
              <w:widowControl/>
              <w:suppressLineNumbers w:val="0"/>
              <w:jc w:val="center"/>
              <w:textAlignment w:val="center"/>
              <w:outlineLvl w:val="9"/>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定制柜（长柜）</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63912">
            <w:pPr>
              <w:keepNext w:val="0"/>
              <w:keepLines w:val="0"/>
              <w:widowControl/>
              <w:suppressLineNumbers w:val="0"/>
              <w:jc w:val="center"/>
              <w:textAlignment w:val="center"/>
              <w:outlineLvl w:val="9"/>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2</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8BE72">
            <w:pPr>
              <w:keepNext w:val="0"/>
              <w:keepLines w:val="0"/>
              <w:widowControl/>
              <w:suppressLineNumbers w:val="0"/>
              <w:jc w:val="center"/>
              <w:textAlignment w:val="center"/>
              <w:outlineLvl w:val="9"/>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个</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1A69E">
            <w:pPr>
              <w:keepNext w:val="0"/>
              <w:keepLines w:val="0"/>
              <w:widowControl/>
              <w:suppressLineNumbers w:val="0"/>
              <w:jc w:val="center"/>
              <w:textAlignment w:val="center"/>
              <w:outlineLvl w:val="9"/>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 xml:space="preserve">2240.53 </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CCFD6">
            <w:pPr>
              <w:keepNext w:val="0"/>
              <w:keepLines w:val="0"/>
              <w:widowControl/>
              <w:suppressLineNumbers w:val="0"/>
              <w:jc w:val="center"/>
              <w:textAlignment w:val="center"/>
              <w:outlineLvl w:val="9"/>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 xml:space="preserve">4481.07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EFDA">
            <w:pPr>
              <w:widowControl/>
              <w:jc w:val="center"/>
              <w:textAlignment w:val="center"/>
              <w:outlineLvl w:val="9"/>
              <w:rPr>
                <w:rFonts w:ascii="宋体" w:hAnsi="宋体" w:cs="宋体"/>
                <w:color w:val="000000"/>
                <w:szCs w:val="21"/>
              </w:rPr>
            </w:pPr>
            <w:r>
              <w:rPr>
                <w:rFonts w:hint="eastAsia" w:ascii="宋体" w:hAnsi="宋体" w:cs="宋体"/>
                <w:color w:val="000000"/>
                <w:kern w:val="0"/>
                <w:szCs w:val="21"/>
                <w:lang w:bidi="ar"/>
              </w:rPr>
              <w:t>阳春实业公司</w:t>
            </w:r>
          </w:p>
        </w:tc>
      </w:tr>
      <w:tr w14:paraId="4A4051F9">
        <w:tblPrEx>
          <w:tblCellMar>
            <w:top w:w="0" w:type="dxa"/>
            <w:left w:w="108" w:type="dxa"/>
            <w:bottom w:w="0" w:type="dxa"/>
            <w:right w:w="108" w:type="dxa"/>
          </w:tblCellMar>
        </w:tblPrEx>
        <w:trPr>
          <w:trHeight w:val="70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1E494">
            <w:pPr>
              <w:widowControl/>
              <w:jc w:val="center"/>
              <w:textAlignment w:val="center"/>
              <w:outlineLvl w:val="9"/>
              <w:rPr>
                <w:rFonts w:ascii="宋体" w:hAnsi="宋体" w:cs="宋体"/>
                <w:color w:val="000000"/>
                <w:szCs w:val="21"/>
              </w:rPr>
            </w:pPr>
            <w:r>
              <w:rPr>
                <w:rFonts w:hint="eastAsia" w:ascii="宋体" w:hAnsi="宋体" w:cs="宋体"/>
                <w:color w:val="000000"/>
                <w:kern w:val="0"/>
                <w:szCs w:val="21"/>
                <w:lang w:bidi="ar"/>
              </w:rPr>
              <w:t>4</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C17DF">
            <w:pPr>
              <w:keepNext w:val="0"/>
              <w:keepLines w:val="0"/>
              <w:widowControl/>
              <w:suppressLineNumbers w:val="0"/>
              <w:jc w:val="center"/>
              <w:textAlignment w:val="center"/>
              <w:outlineLvl w:val="9"/>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定制柜（长柜）</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9F38">
            <w:pPr>
              <w:keepNext w:val="0"/>
              <w:keepLines w:val="0"/>
              <w:widowControl/>
              <w:suppressLineNumbers w:val="0"/>
              <w:jc w:val="center"/>
              <w:textAlignment w:val="center"/>
              <w:outlineLvl w:val="9"/>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2</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EF479">
            <w:pPr>
              <w:keepNext w:val="0"/>
              <w:keepLines w:val="0"/>
              <w:widowControl/>
              <w:suppressLineNumbers w:val="0"/>
              <w:jc w:val="center"/>
              <w:textAlignment w:val="center"/>
              <w:outlineLvl w:val="9"/>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个</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59601">
            <w:pPr>
              <w:keepNext w:val="0"/>
              <w:keepLines w:val="0"/>
              <w:widowControl/>
              <w:suppressLineNumbers w:val="0"/>
              <w:jc w:val="center"/>
              <w:textAlignment w:val="center"/>
              <w:outlineLvl w:val="9"/>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 xml:space="preserve">2651.40 </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F9EB3">
            <w:pPr>
              <w:keepNext w:val="0"/>
              <w:keepLines w:val="0"/>
              <w:widowControl/>
              <w:suppressLineNumbers w:val="0"/>
              <w:jc w:val="center"/>
              <w:textAlignment w:val="center"/>
              <w:outlineLvl w:val="9"/>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 xml:space="preserve">5302.80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FE6F4">
            <w:pPr>
              <w:widowControl/>
              <w:jc w:val="center"/>
              <w:textAlignment w:val="center"/>
              <w:outlineLvl w:val="9"/>
              <w:rPr>
                <w:rFonts w:ascii="宋体" w:hAnsi="宋体" w:cs="宋体"/>
                <w:color w:val="000000"/>
                <w:szCs w:val="21"/>
              </w:rPr>
            </w:pPr>
            <w:r>
              <w:rPr>
                <w:rFonts w:hint="eastAsia" w:ascii="宋体" w:hAnsi="宋体" w:cs="宋体"/>
                <w:color w:val="000000"/>
                <w:kern w:val="0"/>
                <w:szCs w:val="21"/>
                <w:lang w:bidi="ar"/>
              </w:rPr>
              <w:t>阳春实业公司</w:t>
            </w:r>
          </w:p>
        </w:tc>
      </w:tr>
      <w:tr w14:paraId="7DE1F676">
        <w:tblPrEx>
          <w:tblCellMar>
            <w:top w:w="0" w:type="dxa"/>
            <w:left w:w="108" w:type="dxa"/>
            <w:bottom w:w="0" w:type="dxa"/>
            <w:right w:w="108" w:type="dxa"/>
          </w:tblCellMar>
        </w:tblPrEx>
        <w:trPr>
          <w:trHeight w:val="70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6FF1">
            <w:pPr>
              <w:widowControl/>
              <w:jc w:val="center"/>
              <w:textAlignment w:val="center"/>
              <w:outlineLvl w:val="9"/>
              <w:rPr>
                <w:rFonts w:ascii="宋体" w:hAnsi="宋体" w:cs="宋体"/>
                <w:color w:val="000000"/>
                <w:szCs w:val="21"/>
              </w:rPr>
            </w:pPr>
            <w:r>
              <w:rPr>
                <w:rFonts w:hint="eastAsia" w:ascii="宋体" w:hAnsi="宋体" w:cs="宋体"/>
                <w:color w:val="000000"/>
                <w:kern w:val="0"/>
                <w:szCs w:val="21"/>
                <w:lang w:bidi="ar"/>
              </w:rPr>
              <w:t>5</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B8DF6">
            <w:pPr>
              <w:keepNext w:val="0"/>
              <w:keepLines w:val="0"/>
              <w:widowControl/>
              <w:suppressLineNumbers w:val="0"/>
              <w:jc w:val="center"/>
              <w:textAlignment w:val="center"/>
              <w:outlineLvl w:val="9"/>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定制柜（长柜）</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DA4D8">
            <w:pPr>
              <w:keepNext w:val="0"/>
              <w:keepLines w:val="0"/>
              <w:widowControl/>
              <w:suppressLineNumbers w:val="0"/>
              <w:jc w:val="center"/>
              <w:textAlignment w:val="center"/>
              <w:outlineLvl w:val="9"/>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E9102">
            <w:pPr>
              <w:keepNext w:val="0"/>
              <w:keepLines w:val="0"/>
              <w:widowControl/>
              <w:suppressLineNumbers w:val="0"/>
              <w:jc w:val="center"/>
              <w:textAlignment w:val="center"/>
              <w:outlineLvl w:val="9"/>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个</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8B933">
            <w:pPr>
              <w:keepNext w:val="0"/>
              <w:keepLines w:val="0"/>
              <w:widowControl/>
              <w:suppressLineNumbers w:val="0"/>
              <w:jc w:val="center"/>
              <w:textAlignment w:val="center"/>
              <w:outlineLvl w:val="9"/>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 xml:space="preserve">3434.67 </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6990C">
            <w:pPr>
              <w:keepNext w:val="0"/>
              <w:keepLines w:val="0"/>
              <w:widowControl/>
              <w:suppressLineNumbers w:val="0"/>
              <w:jc w:val="center"/>
              <w:textAlignment w:val="center"/>
              <w:outlineLvl w:val="9"/>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 xml:space="preserve">3434.67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3CCD1">
            <w:pPr>
              <w:widowControl/>
              <w:jc w:val="center"/>
              <w:textAlignment w:val="center"/>
              <w:outlineLvl w:val="9"/>
              <w:rPr>
                <w:rFonts w:ascii="宋体" w:hAnsi="宋体" w:cs="宋体"/>
                <w:color w:val="000000"/>
                <w:szCs w:val="21"/>
              </w:rPr>
            </w:pPr>
            <w:r>
              <w:rPr>
                <w:rFonts w:hint="eastAsia" w:ascii="宋体" w:hAnsi="宋体" w:cs="宋体"/>
                <w:color w:val="000000"/>
                <w:kern w:val="0"/>
                <w:szCs w:val="21"/>
                <w:lang w:bidi="ar"/>
              </w:rPr>
              <w:t>阳春实业公司</w:t>
            </w:r>
          </w:p>
        </w:tc>
      </w:tr>
      <w:tr w14:paraId="514A5619">
        <w:tblPrEx>
          <w:tblCellMar>
            <w:top w:w="0" w:type="dxa"/>
            <w:left w:w="108" w:type="dxa"/>
            <w:bottom w:w="0" w:type="dxa"/>
            <w:right w:w="108" w:type="dxa"/>
          </w:tblCellMar>
        </w:tblPrEx>
        <w:trPr>
          <w:trHeight w:val="70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FA689">
            <w:pPr>
              <w:widowControl/>
              <w:jc w:val="center"/>
              <w:textAlignment w:val="center"/>
              <w:outlineLvl w:val="9"/>
              <w:rPr>
                <w:rFonts w:ascii="宋体" w:hAnsi="宋体" w:cs="宋体"/>
                <w:color w:val="000000"/>
                <w:szCs w:val="21"/>
              </w:rPr>
            </w:pPr>
            <w:r>
              <w:rPr>
                <w:rFonts w:hint="eastAsia" w:ascii="宋体" w:hAnsi="宋体" w:cs="宋体"/>
                <w:color w:val="000000"/>
                <w:kern w:val="0"/>
                <w:szCs w:val="21"/>
                <w:lang w:bidi="ar"/>
              </w:rPr>
              <w:t>6</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AD2DC">
            <w:pPr>
              <w:keepNext w:val="0"/>
              <w:keepLines w:val="0"/>
              <w:widowControl/>
              <w:suppressLineNumbers w:val="0"/>
              <w:jc w:val="center"/>
              <w:textAlignment w:val="center"/>
              <w:outlineLvl w:val="9"/>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定制柜（长柜）</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0735E">
            <w:pPr>
              <w:keepNext w:val="0"/>
              <w:keepLines w:val="0"/>
              <w:widowControl/>
              <w:suppressLineNumbers w:val="0"/>
              <w:jc w:val="center"/>
              <w:textAlignment w:val="center"/>
              <w:outlineLvl w:val="9"/>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E01EB">
            <w:pPr>
              <w:keepNext w:val="0"/>
              <w:keepLines w:val="0"/>
              <w:widowControl/>
              <w:suppressLineNumbers w:val="0"/>
              <w:jc w:val="center"/>
              <w:textAlignment w:val="center"/>
              <w:outlineLvl w:val="9"/>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个</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B6A67">
            <w:pPr>
              <w:keepNext w:val="0"/>
              <w:keepLines w:val="0"/>
              <w:widowControl/>
              <w:suppressLineNumbers w:val="0"/>
              <w:jc w:val="center"/>
              <w:textAlignment w:val="center"/>
              <w:outlineLvl w:val="9"/>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 xml:space="preserve">2954.67 </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E61FB">
            <w:pPr>
              <w:keepNext w:val="0"/>
              <w:keepLines w:val="0"/>
              <w:widowControl/>
              <w:suppressLineNumbers w:val="0"/>
              <w:jc w:val="center"/>
              <w:textAlignment w:val="center"/>
              <w:outlineLvl w:val="9"/>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 xml:space="preserve">2954.67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6A84C">
            <w:pPr>
              <w:widowControl/>
              <w:jc w:val="center"/>
              <w:textAlignment w:val="center"/>
              <w:outlineLvl w:val="9"/>
              <w:rPr>
                <w:rFonts w:ascii="宋体" w:hAnsi="宋体" w:cs="宋体"/>
                <w:color w:val="000000"/>
                <w:szCs w:val="21"/>
              </w:rPr>
            </w:pPr>
            <w:r>
              <w:rPr>
                <w:rFonts w:hint="eastAsia" w:ascii="宋体" w:hAnsi="宋体" w:cs="宋体"/>
                <w:color w:val="000000"/>
                <w:kern w:val="0"/>
                <w:szCs w:val="21"/>
                <w:lang w:bidi="ar"/>
              </w:rPr>
              <w:t>阳春实业公司</w:t>
            </w:r>
          </w:p>
        </w:tc>
      </w:tr>
      <w:tr w14:paraId="30648AC5">
        <w:tblPrEx>
          <w:tblCellMar>
            <w:top w:w="0" w:type="dxa"/>
            <w:left w:w="108" w:type="dxa"/>
            <w:bottom w:w="0" w:type="dxa"/>
            <w:right w:w="108" w:type="dxa"/>
          </w:tblCellMar>
        </w:tblPrEx>
        <w:trPr>
          <w:trHeight w:val="70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E6746">
            <w:pPr>
              <w:widowControl/>
              <w:jc w:val="center"/>
              <w:textAlignment w:val="center"/>
              <w:outlineLvl w:val="9"/>
              <w:rPr>
                <w:rFonts w:ascii="宋体" w:hAnsi="宋体" w:cs="宋体"/>
                <w:color w:val="000000"/>
                <w:szCs w:val="21"/>
              </w:rPr>
            </w:pPr>
            <w:r>
              <w:rPr>
                <w:rFonts w:hint="eastAsia" w:ascii="宋体" w:hAnsi="宋体" w:cs="宋体"/>
                <w:color w:val="000000"/>
                <w:kern w:val="0"/>
                <w:szCs w:val="21"/>
                <w:lang w:bidi="ar"/>
              </w:rPr>
              <w:t>7</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A6F38">
            <w:pPr>
              <w:keepNext w:val="0"/>
              <w:keepLines w:val="0"/>
              <w:widowControl/>
              <w:suppressLineNumbers w:val="0"/>
              <w:jc w:val="center"/>
              <w:textAlignment w:val="center"/>
              <w:outlineLvl w:val="9"/>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定制背景墙</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ABB80">
            <w:pPr>
              <w:keepNext w:val="0"/>
              <w:keepLines w:val="0"/>
              <w:widowControl/>
              <w:suppressLineNumbers w:val="0"/>
              <w:jc w:val="center"/>
              <w:textAlignment w:val="center"/>
              <w:outlineLvl w:val="9"/>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DCCA4">
            <w:pPr>
              <w:keepNext w:val="0"/>
              <w:keepLines w:val="0"/>
              <w:widowControl/>
              <w:suppressLineNumbers w:val="0"/>
              <w:jc w:val="center"/>
              <w:textAlignment w:val="center"/>
              <w:outlineLvl w:val="9"/>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面</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12C68">
            <w:pPr>
              <w:keepNext w:val="0"/>
              <w:keepLines w:val="0"/>
              <w:widowControl/>
              <w:suppressLineNumbers w:val="0"/>
              <w:jc w:val="center"/>
              <w:textAlignment w:val="center"/>
              <w:outlineLvl w:val="9"/>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 xml:space="preserve">8016.20 </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D238">
            <w:pPr>
              <w:keepNext w:val="0"/>
              <w:keepLines w:val="0"/>
              <w:widowControl/>
              <w:suppressLineNumbers w:val="0"/>
              <w:jc w:val="center"/>
              <w:textAlignment w:val="center"/>
              <w:outlineLvl w:val="9"/>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 xml:space="preserve">8016.20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9A976">
            <w:pPr>
              <w:widowControl/>
              <w:jc w:val="center"/>
              <w:textAlignment w:val="center"/>
              <w:outlineLvl w:val="9"/>
              <w:rPr>
                <w:rFonts w:ascii="宋体" w:hAnsi="宋体" w:cs="宋体"/>
                <w:color w:val="000000"/>
                <w:szCs w:val="21"/>
              </w:rPr>
            </w:pPr>
            <w:r>
              <w:rPr>
                <w:rFonts w:hint="eastAsia" w:ascii="宋体" w:hAnsi="宋体" w:cs="宋体"/>
                <w:color w:val="000000"/>
                <w:kern w:val="0"/>
                <w:szCs w:val="21"/>
                <w:lang w:bidi="ar"/>
              </w:rPr>
              <w:t>阳春实业公司</w:t>
            </w:r>
          </w:p>
        </w:tc>
      </w:tr>
      <w:tr w14:paraId="65603D9B">
        <w:tblPrEx>
          <w:tblCellMar>
            <w:top w:w="0" w:type="dxa"/>
            <w:left w:w="108" w:type="dxa"/>
            <w:bottom w:w="0" w:type="dxa"/>
            <w:right w:w="108" w:type="dxa"/>
          </w:tblCellMar>
        </w:tblPrEx>
        <w:trPr>
          <w:trHeight w:val="70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F1C75">
            <w:pPr>
              <w:widowControl/>
              <w:jc w:val="center"/>
              <w:textAlignment w:val="center"/>
              <w:outlineLvl w:val="9"/>
              <w:rPr>
                <w:rFonts w:ascii="宋体" w:hAnsi="宋体" w:cs="宋体"/>
                <w:color w:val="000000"/>
                <w:szCs w:val="21"/>
              </w:rPr>
            </w:pPr>
            <w:r>
              <w:rPr>
                <w:rFonts w:hint="eastAsia" w:ascii="宋体" w:hAnsi="宋体" w:cs="宋体"/>
                <w:color w:val="000000"/>
                <w:kern w:val="0"/>
                <w:szCs w:val="21"/>
                <w:lang w:bidi="ar"/>
              </w:rPr>
              <w:t>8</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DA2D7">
            <w:pPr>
              <w:keepNext w:val="0"/>
              <w:keepLines w:val="0"/>
              <w:widowControl/>
              <w:suppressLineNumbers w:val="0"/>
              <w:jc w:val="center"/>
              <w:textAlignment w:val="center"/>
              <w:outlineLvl w:val="9"/>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人造石英石台面</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3EDCE">
            <w:pPr>
              <w:keepNext w:val="0"/>
              <w:keepLines w:val="0"/>
              <w:widowControl/>
              <w:suppressLineNumbers w:val="0"/>
              <w:jc w:val="center"/>
              <w:textAlignment w:val="center"/>
              <w:outlineLvl w:val="9"/>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4C42E">
            <w:pPr>
              <w:keepNext w:val="0"/>
              <w:keepLines w:val="0"/>
              <w:widowControl/>
              <w:suppressLineNumbers w:val="0"/>
              <w:jc w:val="center"/>
              <w:textAlignment w:val="center"/>
              <w:outlineLvl w:val="9"/>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张</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D152B">
            <w:pPr>
              <w:keepNext w:val="0"/>
              <w:keepLines w:val="0"/>
              <w:widowControl/>
              <w:suppressLineNumbers w:val="0"/>
              <w:jc w:val="center"/>
              <w:textAlignment w:val="center"/>
              <w:outlineLvl w:val="9"/>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 xml:space="preserve">2685.33 </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DD851">
            <w:pPr>
              <w:keepNext w:val="0"/>
              <w:keepLines w:val="0"/>
              <w:widowControl/>
              <w:suppressLineNumbers w:val="0"/>
              <w:jc w:val="center"/>
              <w:textAlignment w:val="center"/>
              <w:outlineLvl w:val="9"/>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 xml:space="preserve">2685.33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3C310">
            <w:pPr>
              <w:widowControl/>
              <w:jc w:val="center"/>
              <w:textAlignment w:val="center"/>
              <w:outlineLvl w:val="9"/>
              <w:rPr>
                <w:rFonts w:ascii="宋体" w:hAnsi="宋体" w:cs="宋体"/>
                <w:color w:val="000000"/>
                <w:szCs w:val="21"/>
              </w:rPr>
            </w:pPr>
            <w:r>
              <w:rPr>
                <w:rFonts w:hint="eastAsia" w:ascii="宋体" w:hAnsi="宋体" w:cs="宋体"/>
                <w:color w:val="000000"/>
                <w:kern w:val="0"/>
                <w:szCs w:val="21"/>
                <w:lang w:bidi="ar"/>
              </w:rPr>
              <w:t>阳春实业公司</w:t>
            </w:r>
          </w:p>
        </w:tc>
      </w:tr>
      <w:tr w14:paraId="17958BDA">
        <w:tblPrEx>
          <w:tblCellMar>
            <w:top w:w="0" w:type="dxa"/>
            <w:left w:w="108" w:type="dxa"/>
            <w:bottom w:w="0" w:type="dxa"/>
            <w:right w:w="108" w:type="dxa"/>
          </w:tblCellMar>
        </w:tblPrEx>
        <w:trPr>
          <w:trHeight w:val="70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C8FE">
            <w:pPr>
              <w:widowControl/>
              <w:jc w:val="center"/>
              <w:textAlignment w:val="center"/>
              <w:outlineLvl w:val="9"/>
              <w:rPr>
                <w:rFonts w:ascii="宋体" w:hAnsi="宋体" w:cs="宋体"/>
                <w:color w:val="000000"/>
                <w:szCs w:val="21"/>
              </w:rPr>
            </w:pPr>
            <w:r>
              <w:rPr>
                <w:rFonts w:hint="eastAsia" w:ascii="宋体" w:hAnsi="宋体" w:cs="宋体"/>
                <w:color w:val="000000"/>
                <w:kern w:val="0"/>
                <w:szCs w:val="21"/>
                <w:lang w:bidi="ar"/>
              </w:rPr>
              <w:t>9</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B907A">
            <w:pPr>
              <w:keepNext w:val="0"/>
              <w:keepLines w:val="0"/>
              <w:widowControl/>
              <w:suppressLineNumbers w:val="0"/>
              <w:jc w:val="center"/>
              <w:textAlignment w:val="center"/>
              <w:outlineLvl w:val="9"/>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人造石英石台面</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A43EC">
            <w:pPr>
              <w:keepNext w:val="0"/>
              <w:keepLines w:val="0"/>
              <w:widowControl/>
              <w:suppressLineNumbers w:val="0"/>
              <w:jc w:val="center"/>
              <w:textAlignment w:val="center"/>
              <w:outlineLvl w:val="9"/>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950FD">
            <w:pPr>
              <w:keepNext w:val="0"/>
              <w:keepLines w:val="0"/>
              <w:widowControl/>
              <w:suppressLineNumbers w:val="0"/>
              <w:jc w:val="center"/>
              <w:textAlignment w:val="center"/>
              <w:outlineLvl w:val="9"/>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张</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9D2DB">
            <w:pPr>
              <w:keepNext w:val="0"/>
              <w:keepLines w:val="0"/>
              <w:widowControl/>
              <w:suppressLineNumbers w:val="0"/>
              <w:jc w:val="center"/>
              <w:textAlignment w:val="center"/>
              <w:outlineLvl w:val="9"/>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 xml:space="preserve">2430.83 </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5345A">
            <w:pPr>
              <w:keepNext w:val="0"/>
              <w:keepLines w:val="0"/>
              <w:widowControl/>
              <w:suppressLineNumbers w:val="0"/>
              <w:jc w:val="center"/>
              <w:textAlignment w:val="center"/>
              <w:outlineLvl w:val="9"/>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 xml:space="preserve">2430.83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2B680">
            <w:pPr>
              <w:widowControl/>
              <w:jc w:val="center"/>
              <w:textAlignment w:val="center"/>
              <w:outlineLvl w:val="9"/>
              <w:rPr>
                <w:rFonts w:ascii="宋体" w:hAnsi="宋体" w:cs="宋体"/>
                <w:color w:val="000000"/>
                <w:szCs w:val="21"/>
              </w:rPr>
            </w:pPr>
            <w:r>
              <w:rPr>
                <w:rFonts w:hint="eastAsia" w:ascii="宋体" w:hAnsi="宋体" w:cs="宋体"/>
                <w:color w:val="000000"/>
                <w:kern w:val="0"/>
                <w:szCs w:val="21"/>
                <w:lang w:bidi="ar"/>
              </w:rPr>
              <w:t>阳春实业公司</w:t>
            </w:r>
          </w:p>
        </w:tc>
      </w:tr>
      <w:tr w14:paraId="250FD5D3">
        <w:tblPrEx>
          <w:tblCellMar>
            <w:top w:w="0" w:type="dxa"/>
            <w:left w:w="108" w:type="dxa"/>
            <w:bottom w:w="0" w:type="dxa"/>
            <w:right w:w="108" w:type="dxa"/>
          </w:tblCellMar>
        </w:tblPrEx>
        <w:trPr>
          <w:trHeight w:val="70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6FD46">
            <w:pPr>
              <w:widowControl/>
              <w:jc w:val="center"/>
              <w:textAlignment w:val="center"/>
              <w:outlineLvl w:val="9"/>
              <w:rPr>
                <w:rFonts w:ascii="宋体" w:hAnsi="宋体" w:cs="宋体"/>
                <w:color w:val="000000"/>
                <w:szCs w:val="21"/>
              </w:rPr>
            </w:pPr>
            <w:r>
              <w:rPr>
                <w:rFonts w:hint="eastAsia" w:ascii="宋体" w:hAnsi="宋体" w:cs="宋体"/>
                <w:color w:val="000000"/>
                <w:kern w:val="0"/>
                <w:szCs w:val="21"/>
                <w:lang w:bidi="ar"/>
              </w:rPr>
              <w:t>10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9D88A">
            <w:pPr>
              <w:keepNext w:val="0"/>
              <w:keepLines w:val="0"/>
              <w:widowControl/>
              <w:suppressLineNumbers w:val="0"/>
              <w:jc w:val="center"/>
              <w:textAlignment w:val="center"/>
              <w:outlineLvl w:val="9"/>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办公沙发五件套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2ACD0">
            <w:pPr>
              <w:keepNext w:val="0"/>
              <w:keepLines w:val="0"/>
              <w:widowControl/>
              <w:suppressLineNumbers w:val="0"/>
              <w:jc w:val="center"/>
              <w:textAlignment w:val="center"/>
              <w:outlineLvl w:val="9"/>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3782F">
            <w:pPr>
              <w:keepNext w:val="0"/>
              <w:keepLines w:val="0"/>
              <w:widowControl/>
              <w:suppressLineNumbers w:val="0"/>
              <w:jc w:val="center"/>
              <w:textAlignment w:val="center"/>
              <w:outlineLvl w:val="9"/>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套</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73E9C">
            <w:pPr>
              <w:keepNext w:val="0"/>
              <w:keepLines w:val="0"/>
              <w:widowControl/>
              <w:suppressLineNumbers w:val="0"/>
              <w:jc w:val="center"/>
              <w:textAlignment w:val="center"/>
              <w:outlineLvl w:val="9"/>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 xml:space="preserve">5624.33 </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A36D4">
            <w:pPr>
              <w:keepNext w:val="0"/>
              <w:keepLines w:val="0"/>
              <w:widowControl/>
              <w:suppressLineNumbers w:val="0"/>
              <w:jc w:val="center"/>
              <w:textAlignment w:val="center"/>
              <w:outlineLvl w:val="9"/>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 xml:space="preserve">5624.33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D1C24">
            <w:pPr>
              <w:widowControl/>
              <w:jc w:val="center"/>
              <w:textAlignment w:val="center"/>
              <w:outlineLvl w:val="9"/>
              <w:rPr>
                <w:rFonts w:ascii="宋体" w:hAnsi="宋体" w:cs="宋体"/>
                <w:color w:val="000000"/>
                <w:szCs w:val="21"/>
              </w:rPr>
            </w:pPr>
            <w:r>
              <w:rPr>
                <w:rFonts w:hint="eastAsia" w:ascii="宋体" w:hAnsi="宋体" w:cs="宋体"/>
                <w:color w:val="000000"/>
                <w:kern w:val="0"/>
                <w:szCs w:val="21"/>
                <w:lang w:bidi="ar"/>
              </w:rPr>
              <w:t>阳春实业公司</w:t>
            </w:r>
          </w:p>
        </w:tc>
      </w:tr>
      <w:tr w14:paraId="3F5616CB">
        <w:tblPrEx>
          <w:tblCellMar>
            <w:top w:w="0" w:type="dxa"/>
            <w:left w:w="108" w:type="dxa"/>
            <w:bottom w:w="0" w:type="dxa"/>
            <w:right w:w="108" w:type="dxa"/>
          </w:tblCellMar>
        </w:tblPrEx>
        <w:trPr>
          <w:trHeight w:val="70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C1AA4">
            <w:pPr>
              <w:widowControl/>
              <w:jc w:val="center"/>
              <w:textAlignment w:val="center"/>
              <w:outlineLvl w:val="9"/>
              <w:rPr>
                <w:rFonts w:ascii="宋体" w:hAnsi="宋体" w:cs="宋体"/>
                <w:color w:val="000000"/>
                <w:szCs w:val="21"/>
              </w:rPr>
            </w:pPr>
            <w:r>
              <w:rPr>
                <w:rFonts w:hint="eastAsia" w:ascii="宋体" w:hAnsi="宋体" w:cs="宋体"/>
                <w:color w:val="000000"/>
                <w:kern w:val="0"/>
                <w:szCs w:val="21"/>
                <w:lang w:bidi="ar"/>
              </w:rPr>
              <w:t>11</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350FD">
            <w:pPr>
              <w:keepNext w:val="0"/>
              <w:keepLines w:val="0"/>
              <w:widowControl/>
              <w:suppressLineNumbers w:val="0"/>
              <w:jc w:val="center"/>
              <w:textAlignment w:val="center"/>
              <w:outlineLvl w:val="9"/>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茶水柜</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199E5">
            <w:pPr>
              <w:keepNext w:val="0"/>
              <w:keepLines w:val="0"/>
              <w:widowControl/>
              <w:suppressLineNumbers w:val="0"/>
              <w:jc w:val="center"/>
              <w:textAlignment w:val="center"/>
              <w:outlineLvl w:val="9"/>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2</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964A9">
            <w:pPr>
              <w:keepNext w:val="0"/>
              <w:keepLines w:val="0"/>
              <w:widowControl/>
              <w:suppressLineNumbers w:val="0"/>
              <w:jc w:val="center"/>
              <w:textAlignment w:val="center"/>
              <w:outlineLvl w:val="9"/>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个</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8A4A">
            <w:pPr>
              <w:keepNext w:val="0"/>
              <w:keepLines w:val="0"/>
              <w:widowControl/>
              <w:suppressLineNumbers w:val="0"/>
              <w:jc w:val="center"/>
              <w:textAlignment w:val="center"/>
              <w:outlineLvl w:val="9"/>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 xml:space="preserve">1344.00 </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4918">
            <w:pPr>
              <w:keepNext w:val="0"/>
              <w:keepLines w:val="0"/>
              <w:widowControl/>
              <w:suppressLineNumbers w:val="0"/>
              <w:jc w:val="center"/>
              <w:textAlignment w:val="center"/>
              <w:outlineLvl w:val="9"/>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 xml:space="preserve">2688.00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69EAD">
            <w:pPr>
              <w:widowControl/>
              <w:jc w:val="center"/>
              <w:textAlignment w:val="center"/>
              <w:outlineLvl w:val="9"/>
              <w:rPr>
                <w:rFonts w:ascii="宋体" w:hAnsi="宋体" w:cs="宋体"/>
                <w:color w:val="000000"/>
                <w:szCs w:val="21"/>
              </w:rPr>
            </w:pPr>
            <w:r>
              <w:rPr>
                <w:rFonts w:hint="eastAsia" w:ascii="宋体" w:hAnsi="宋体" w:cs="宋体"/>
                <w:color w:val="000000"/>
                <w:kern w:val="0"/>
                <w:szCs w:val="21"/>
                <w:lang w:bidi="ar"/>
              </w:rPr>
              <w:t>阳春实业公司</w:t>
            </w:r>
          </w:p>
        </w:tc>
      </w:tr>
      <w:tr w14:paraId="48A9F0EA">
        <w:tblPrEx>
          <w:tblCellMar>
            <w:top w:w="0" w:type="dxa"/>
            <w:left w:w="108" w:type="dxa"/>
            <w:bottom w:w="0" w:type="dxa"/>
            <w:right w:w="108" w:type="dxa"/>
          </w:tblCellMar>
        </w:tblPrEx>
        <w:trPr>
          <w:trHeight w:val="968"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7B4C6">
            <w:pPr>
              <w:widowControl/>
              <w:jc w:val="center"/>
              <w:textAlignment w:val="center"/>
              <w:outlineLvl w:val="9"/>
              <w:rPr>
                <w:rFonts w:ascii="宋体" w:hAnsi="宋体" w:cs="宋体"/>
                <w:color w:val="000000"/>
                <w:szCs w:val="21"/>
              </w:rPr>
            </w:pPr>
            <w:r>
              <w:rPr>
                <w:rFonts w:hint="eastAsia" w:ascii="宋体" w:hAnsi="宋体" w:cs="宋体"/>
                <w:color w:val="000000"/>
                <w:kern w:val="0"/>
                <w:szCs w:val="21"/>
                <w:lang w:bidi="ar"/>
              </w:rPr>
              <w:t>12</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A52BF">
            <w:pPr>
              <w:keepNext w:val="0"/>
              <w:keepLines w:val="0"/>
              <w:widowControl/>
              <w:suppressLineNumbers w:val="0"/>
              <w:jc w:val="center"/>
              <w:textAlignment w:val="center"/>
              <w:outlineLvl w:val="9"/>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移动办公长条桌</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6B47">
            <w:pPr>
              <w:keepNext w:val="0"/>
              <w:keepLines w:val="0"/>
              <w:widowControl/>
              <w:suppressLineNumbers w:val="0"/>
              <w:jc w:val="center"/>
              <w:textAlignment w:val="center"/>
              <w:outlineLvl w:val="9"/>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6</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25535">
            <w:pPr>
              <w:keepNext w:val="0"/>
              <w:keepLines w:val="0"/>
              <w:widowControl/>
              <w:suppressLineNumbers w:val="0"/>
              <w:jc w:val="center"/>
              <w:textAlignment w:val="center"/>
              <w:outlineLvl w:val="9"/>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张</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F02E4">
            <w:pPr>
              <w:keepNext w:val="0"/>
              <w:keepLines w:val="0"/>
              <w:widowControl/>
              <w:suppressLineNumbers w:val="0"/>
              <w:jc w:val="center"/>
              <w:textAlignment w:val="center"/>
              <w:outlineLvl w:val="9"/>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 xml:space="preserve">409.67 </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173DF">
            <w:pPr>
              <w:keepNext w:val="0"/>
              <w:keepLines w:val="0"/>
              <w:widowControl/>
              <w:suppressLineNumbers w:val="0"/>
              <w:jc w:val="center"/>
              <w:textAlignment w:val="center"/>
              <w:outlineLvl w:val="9"/>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 xml:space="preserve">2458.00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E84D">
            <w:pPr>
              <w:widowControl/>
              <w:jc w:val="center"/>
              <w:textAlignment w:val="center"/>
              <w:outlineLvl w:val="9"/>
              <w:rPr>
                <w:rFonts w:ascii="宋体" w:hAnsi="宋体" w:cs="宋体"/>
                <w:color w:val="000000"/>
                <w:szCs w:val="21"/>
              </w:rPr>
            </w:pPr>
            <w:r>
              <w:rPr>
                <w:rFonts w:hint="eastAsia" w:ascii="宋体" w:hAnsi="宋体" w:cs="宋体"/>
                <w:color w:val="000000"/>
                <w:kern w:val="0"/>
                <w:szCs w:val="21"/>
                <w:lang w:bidi="ar"/>
              </w:rPr>
              <w:t>阳春实业公司</w:t>
            </w:r>
          </w:p>
        </w:tc>
      </w:tr>
      <w:tr w14:paraId="3DF3BC5C">
        <w:tblPrEx>
          <w:tblCellMar>
            <w:top w:w="0" w:type="dxa"/>
            <w:left w:w="108" w:type="dxa"/>
            <w:bottom w:w="0" w:type="dxa"/>
            <w:right w:w="108" w:type="dxa"/>
          </w:tblCellMar>
        </w:tblPrEx>
        <w:trPr>
          <w:trHeight w:val="70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F359">
            <w:pPr>
              <w:widowControl/>
              <w:jc w:val="center"/>
              <w:textAlignment w:val="center"/>
              <w:outlineLvl w:val="9"/>
              <w:rPr>
                <w:rFonts w:ascii="宋体" w:hAnsi="宋体" w:cs="宋体"/>
                <w:color w:val="000000"/>
                <w:szCs w:val="21"/>
              </w:rPr>
            </w:pPr>
            <w:r>
              <w:rPr>
                <w:rFonts w:hint="eastAsia" w:ascii="宋体" w:hAnsi="宋体" w:cs="宋体"/>
                <w:color w:val="000000"/>
                <w:kern w:val="0"/>
                <w:szCs w:val="21"/>
                <w:lang w:bidi="ar"/>
              </w:rPr>
              <w:t>13</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717E">
            <w:pPr>
              <w:keepNext w:val="0"/>
              <w:keepLines w:val="0"/>
              <w:widowControl/>
              <w:suppressLineNumbers w:val="0"/>
              <w:jc w:val="center"/>
              <w:textAlignment w:val="center"/>
              <w:outlineLvl w:val="9"/>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移动办公长条桌</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1953B">
            <w:pPr>
              <w:keepNext w:val="0"/>
              <w:keepLines w:val="0"/>
              <w:widowControl/>
              <w:suppressLineNumbers w:val="0"/>
              <w:jc w:val="center"/>
              <w:textAlignment w:val="center"/>
              <w:outlineLvl w:val="9"/>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52</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42E3D">
            <w:pPr>
              <w:keepNext w:val="0"/>
              <w:keepLines w:val="0"/>
              <w:widowControl/>
              <w:suppressLineNumbers w:val="0"/>
              <w:jc w:val="center"/>
              <w:textAlignment w:val="center"/>
              <w:outlineLvl w:val="9"/>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张</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4757">
            <w:pPr>
              <w:keepNext w:val="0"/>
              <w:keepLines w:val="0"/>
              <w:widowControl/>
              <w:suppressLineNumbers w:val="0"/>
              <w:jc w:val="center"/>
              <w:textAlignment w:val="center"/>
              <w:outlineLvl w:val="9"/>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 xml:space="preserve">455.67 </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A78EB">
            <w:pPr>
              <w:keepNext w:val="0"/>
              <w:keepLines w:val="0"/>
              <w:widowControl/>
              <w:suppressLineNumbers w:val="0"/>
              <w:jc w:val="center"/>
              <w:textAlignment w:val="center"/>
              <w:outlineLvl w:val="9"/>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 xml:space="preserve">23694.67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175C3">
            <w:pPr>
              <w:widowControl/>
              <w:jc w:val="center"/>
              <w:textAlignment w:val="center"/>
              <w:outlineLvl w:val="9"/>
              <w:rPr>
                <w:rFonts w:ascii="宋体" w:hAnsi="宋体" w:cs="宋体"/>
                <w:color w:val="000000"/>
                <w:szCs w:val="21"/>
              </w:rPr>
            </w:pPr>
            <w:r>
              <w:rPr>
                <w:rFonts w:hint="eastAsia" w:ascii="宋体" w:hAnsi="宋体" w:cs="宋体"/>
                <w:color w:val="000000"/>
                <w:kern w:val="0"/>
                <w:szCs w:val="21"/>
                <w:lang w:bidi="ar"/>
              </w:rPr>
              <w:t>实训中心</w:t>
            </w:r>
          </w:p>
        </w:tc>
      </w:tr>
      <w:tr w14:paraId="7D712D1D">
        <w:tblPrEx>
          <w:tblCellMar>
            <w:top w:w="0" w:type="dxa"/>
            <w:left w:w="108" w:type="dxa"/>
            <w:bottom w:w="0" w:type="dxa"/>
            <w:right w:w="108" w:type="dxa"/>
          </w:tblCellMar>
        </w:tblPrEx>
        <w:trPr>
          <w:trHeight w:val="70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88A92">
            <w:pPr>
              <w:widowControl/>
              <w:jc w:val="center"/>
              <w:textAlignment w:val="center"/>
              <w:outlineLvl w:val="9"/>
              <w:rPr>
                <w:rFonts w:ascii="宋体" w:hAnsi="宋体" w:cs="宋体"/>
                <w:color w:val="000000"/>
                <w:szCs w:val="21"/>
              </w:rPr>
            </w:pPr>
            <w:r>
              <w:rPr>
                <w:rFonts w:hint="eastAsia" w:ascii="宋体" w:hAnsi="宋体" w:cs="宋体"/>
                <w:color w:val="000000"/>
                <w:kern w:val="0"/>
                <w:szCs w:val="21"/>
                <w:lang w:bidi="ar"/>
              </w:rPr>
              <w:t>14</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6D3CA">
            <w:pPr>
              <w:keepNext w:val="0"/>
              <w:keepLines w:val="0"/>
              <w:widowControl/>
              <w:suppressLineNumbers w:val="0"/>
              <w:jc w:val="center"/>
              <w:textAlignment w:val="center"/>
              <w:outlineLvl w:val="9"/>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会议讨论室办公椅</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B0CB">
            <w:pPr>
              <w:keepNext w:val="0"/>
              <w:keepLines w:val="0"/>
              <w:widowControl/>
              <w:suppressLineNumbers w:val="0"/>
              <w:jc w:val="center"/>
              <w:textAlignment w:val="center"/>
              <w:outlineLvl w:val="9"/>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120</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7B306">
            <w:pPr>
              <w:keepNext w:val="0"/>
              <w:keepLines w:val="0"/>
              <w:widowControl/>
              <w:suppressLineNumbers w:val="0"/>
              <w:jc w:val="center"/>
              <w:textAlignment w:val="center"/>
              <w:outlineLvl w:val="9"/>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张</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0C726">
            <w:pPr>
              <w:keepNext w:val="0"/>
              <w:keepLines w:val="0"/>
              <w:widowControl/>
              <w:suppressLineNumbers w:val="0"/>
              <w:jc w:val="center"/>
              <w:textAlignment w:val="center"/>
              <w:outlineLvl w:val="9"/>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 xml:space="preserve">236.00 </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267DD">
            <w:pPr>
              <w:keepNext w:val="0"/>
              <w:keepLines w:val="0"/>
              <w:widowControl/>
              <w:suppressLineNumbers w:val="0"/>
              <w:jc w:val="center"/>
              <w:textAlignment w:val="center"/>
              <w:outlineLvl w:val="9"/>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 xml:space="preserve">28320.00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EE61E">
            <w:pPr>
              <w:widowControl/>
              <w:jc w:val="center"/>
              <w:textAlignment w:val="center"/>
              <w:outlineLvl w:val="9"/>
              <w:rPr>
                <w:rFonts w:hint="eastAsia" w:ascii="宋体" w:hAnsi="宋体" w:eastAsia="宋体" w:cs="宋体"/>
                <w:color w:val="000000"/>
                <w:szCs w:val="21"/>
                <w:lang w:val="en-US" w:eastAsia="zh-CN"/>
              </w:rPr>
            </w:pPr>
            <w:r>
              <w:rPr>
                <w:rFonts w:hint="eastAsia" w:ascii="宋体" w:hAnsi="宋体" w:cs="宋体"/>
                <w:color w:val="000000"/>
                <w:kern w:val="0"/>
                <w:szCs w:val="21"/>
                <w:lang w:bidi="ar"/>
              </w:rPr>
              <w:t>实训中心</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阳春实业公司</w:t>
            </w:r>
          </w:p>
        </w:tc>
      </w:tr>
      <w:tr w14:paraId="160DB2A3">
        <w:tblPrEx>
          <w:tblCellMar>
            <w:top w:w="0" w:type="dxa"/>
            <w:left w:w="108" w:type="dxa"/>
            <w:bottom w:w="0" w:type="dxa"/>
            <w:right w:w="108" w:type="dxa"/>
          </w:tblCellMar>
        </w:tblPrEx>
        <w:trPr>
          <w:trHeight w:val="70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C31B">
            <w:pPr>
              <w:widowControl/>
              <w:jc w:val="center"/>
              <w:textAlignment w:val="center"/>
              <w:outlineLvl w:val="9"/>
              <w:rPr>
                <w:rFonts w:ascii="宋体" w:hAnsi="宋体" w:cs="宋体"/>
                <w:color w:val="000000"/>
                <w:szCs w:val="21"/>
              </w:rPr>
            </w:pPr>
            <w:r>
              <w:rPr>
                <w:rFonts w:hint="eastAsia" w:ascii="宋体" w:hAnsi="宋体" w:cs="宋体"/>
                <w:color w:val="000000"/>
                <w:kern w:val="0"/>
                <w:szCs w:val="21"/>
                <w:lang w:bidi="ar"/>
              </w:rPr>
              <w:t>15</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0C23">
            <w:pPr>
              <w:keepNext w:val="0"/>
              <w:keepLines w:val="0"/>
              <w:widowControl/>
              <w:suppressLineNumbers w:val="0"/>
              <w:jc w:val="center"/>
              <w:textAlignment w:val="center"/>
              <w:outlineLvl w:val="9"/>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办公桌</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C5E52">
            <w:pPr>
              <w:keepNext w:val="0"/>
              <w:keepLines w:val="0"/>
              <w:widowControl/>
              <w:suppressLineNumbers w:val="0"/>
              <w:jc w:val="center"/>
              <w:textAlignment w:val="center"/>
              <w:outlineLvl w:val="9"/>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3</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5F6B8">
            <w:pPr>
              <w:keepNext w:val="0"/>
              <w:keepLines w:val="0"/>
              <w:widowControl/>
              <w:suppressLineNumbers w:val="0"/>
              <w:jc w:val="center"/>
              <w:textAlignment w:val="center"/>
              <w:outlineLvl w:val="9"/>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张</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302EA">
            <w:pPr>
              <w:keepNext w:val="0"/>
              <w:keepLines w:val="0"/>
              <w:widowControl/>
              <w:suppressLineNumbers w:val="0"/>
              <w:jc w:val="center"/>
              <w:textAlignment w:val="center"/>
              <w:outlineLvl w:val="9"/>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 xml:space="preserve">886.67 </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74E14">
            <w:pPr>
              <w:keepNext w:val="0"/>
              <w:keepLines w:val="0"/>
              <w:widowControl/>
              <w:suppressLineNumbers w:val="0"/>
              <w:jc w:val="center"/>
              <w:textAlignment w:val="center"/>
              <w:outlineLvl w:val="9"/>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 xml:space="preserve">2660.00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6250D">
            <w:pPr>
              <w:widowControl/>
              <w:jc w:val="center"/>
              <w:textAlignment w:val="center"/>
              <w:outlineLvl w:val="9"/>
              <w:rPr>
                <w:rFonts w:ascii="宋体" w:hAnsi="宋体" w:cs="宋体"/>
                <w:color w:val="000000"/>
                <w:szCs w:val="21"/>
              </w:rPr>
            </w:pPr>
            <w:r>
              <w:rPr>
                <w:rFonts w:hint="eastAsia" w:ascii="宋体" w:hAnsi="宋体" w:cs="宋体"/>
                <w:color w:val="000000"/>
                <w:kern w:val="0"/>
                <w:szCs w:val="21"/>
                <w:lang w:bidi="ar"/>
              </w:rPr>
              <w:t>实训中心</w:t>
            </w:r>
          </w:p>
        </w:tc>
      </w:tr>
      <w:tr w14:paraId="3FBE9C4C">
        <w:tblPrEx>
          <w:tblCellMar>
            <w:top w:w="0" w:type="dxa"/>
            <w:left w:w="108" w:type="dxa"/>
            <w:bottom w:w="0" w:type="dxa"/>
            <w:right w:w="108" w:type="dxa"/>
          </w:tblCellMar>
        </w:tblPrEx>
        <w:trPr>
          <w:trHeight w:val="70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3DA7">
            <w:pPr>
              <w:widowControl/>
              <w:jc w:val="center"/>
              <w:textAlignment w:val="center"/>
              <w:outlineLvl w:val="9"/>
              <w:rPr>
                <w:rFonts w:ascii="宋体" w:hAnsi="宋体" w:cs="宋体"/>
                <w:color w:val="000000"/>
                <w:szCs w:val="21"/>
              </w:rPr>
            </w:pPr>
            <w:r>
              <w:rPr>
                <w:rFonts w:hint="eastAsia" w:ascii="宋体" w:hAnsi="宋体" w:cs="宋体"/>
                <w:color w:val="000000"/>
                <w:kern w:val="0"/>
                <w:szCs w:val="21"/>
                <w:lang w:bidi="ar"/>
              </w:rPr>
              <w:t>16</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9C265">
            <w:pPr>
              <w:keepNext w:val="0"/>
              <w:keepLines w:val="0"/>
              <w:widowControl/>
              <w:suppressLineNumbers w:val="0"/>
              <w:jc w:val="center"/>
              <w:textAlignment w:val="center"/>
              <w:outlineLvl w:val="9"/>
              <w:rPr>
                <w:rFonts w:ascii="宋体" w:hAnsi="宋体" w:cs="宋体"/>
                <w:color w:val="000000"/>
                <w:szCs w:val="21"/>
              </w:rPr>
            </w:pPr>
            <w:r>
              <w:rPr>
                <w:rFonts w:hint="eastAsia" w:ascii="宋体" w:hAnsi="宋体" w:eastAsia="宋体" w:cs="宋体"/>
                <w:i w:val="0"/>
                <w:iCs w:val="0"/>
                <w:color w:val="000000"/>
                <w:kern w:val="0"/>
                <w:sz w:val="20"/>
                <w:szCs w:val="20"/>
                <w:u w:val="none"/>
                <w:lang w:val="en-US" w:eastAsia="zh-CN" w:bidi="ar"/>
              </w:rPr>
              <w:t>办公椅</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AE4E1">
            <w:pPr>
              <w:keepNext w:val="0"/>
              <w:keepLines w:val="0"/>
              <w:widowControl/>
              <w:suppressLineNumbers w:val="0"/>
              <w:jc w:val="center"/>
              <w:textAlignment w:val="center"/>
              <w:outlineLvl w:val="9"/>
              <w:rPr>
                <w:rFonts w:ascii="宋体" w:hAnsi="宋体" w:cs="宋体"/>
                <w:color w:val="000000"/>
                <w:szCs w:val="21"/>
              </w:rPr>
            </w:pPr>
            <w:r>
              <w:rPr>
                <w:rFonts w:hint="eastAsia" w:ascii="宋体" w:hAnsi="宋体" w:eastAsia="宋体" w:cs="宋体"/>
                <w:i w:val="0"/>
                <w:iCs w:val="0"/>
                <w:color w:val="000000"/>
                <w:kern w:val="0"/>
                <w:sz w:val="20"/>
                <w:szCs w:val="20"/>
                <w:u w:val="none"/>
                <w:lang w:val="en-US" w:eastAsia="zh-CN" w:bidi="ar"/>
              </w:rPr>
              <w:t>3</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5ED12">
            <w:pPr>
              <w:keepNext w:val="0"/>
              <w:keepLines w:val="0"/>
              <w:widowControl/>
              <w:suppressLineNumbers w:val="0"/>
              <w:jc w:val="center"/>
              <w:textAlignment w:val="center"/>
              <w:outlineLvl w:val="9"/>
              <w:rPr>
                <w:rFonts w:ascii="宋体" w:hAnsi="宋体" w:cs="宋体"/>
                <w:color w:val="000000"/>
                <w:szCs w:val="21"/>
              </w:rPr>
            </w:pPr>
            <w:r>
              <w:rPr>
                <w:rFonts w:hint="eastAsia" w:ascii="宋体" w:hAnsi="宋体" w:eastAsia="宋体" w:cs="宋体"/>
                <w:i w:val="0"/>
                <w:iCs w:val="0"/>
                <w:color w:val="000000"/>
                <w:kern w:val="0"/>
                <w:sz w:val="20"/>
                <w:szCs w:val="20"/>
                <w:u w:val="none"/>
                <w:lang w:val="en-US" w:eastAsia="zh-CN" w:bidi="ar"/>
              </w:rPr>
              <w:t>张</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23B2">
            <w:pPr>
              <w:keepNext w:val="0"/>
              <w:keepLines w:val="0"/>
              <w:widowControl/>
              <w:suppressLineNumbers w:val="0"/>
              <w:jc w:val="center"/>
              <w:textAlignment w:val="center"/>
              <w:outlineLvl w:val="9"/>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 xml:space="preserve">316.67 </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92519">
            <w:pPr>
              <w:keepNext w:val="0"/>
              <w:keepLines w:val="0"/>
              <w:widowControl/>
              <w:suppressLineNumbers w:val="0"/>
              <w:jc w:val="center"/>
              <w:textAlignment w:val="center"/>
              <w:outlineLvl w:val="9"/>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 xml:space="preserve">950.00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E808">
            <w:pPr>
              <w:widowControl/>
              <w:jc w:val="center"/>
              <w:textAlignment w:val="center"/>
              <w:outlineLvl w:val="9"/>
              <w:rPr>
                <w:rFonts w:ascii="宋体" w:hAnsi="宋体" w:cs="宋体"/>
                <w:color w:val="000000"/>
                <w:szCs w:val="21"/>
              </w:rPr>
            </w:pPr>
            <w:r>
              <w:rPr>
                <w:rFonts w:hint="eastAsia" w:ascii="宋体" w:hAnsi="宋体" w:cs="宋体"/>
                <w:color w:val="000000"/>
                <w:kern w:val="0"/>
                <w:szCs w:val="21"/>
                <w:lang w:bidi="ar"/>
              </w:rPr>
              <w:t>实训中心</w:t>
            </w:r>
          </w:p>
        </w:tc>
      </w:tr>
    </w:tbl>
    <w:p w14:paraId="2CB7E227">
      <w:pPr>
        <w:pageBreakBefore w:val="0"/>
        <w:widowControl w:val="0"/>
        <w:numPr>
          <w:ilvl w:val="0"/>
          <w:numId w:val="27"/>
        </w:numPr>
        <w:tabs>
          <w:tab w:val="left" w:pos="1259"/>
        </w:tabs>
        <w:kinsoku/>
        <w:wordWrap/>
        <w:overflowPunct/>
        <w:topLinePunct w:val="0"/>
        <w:autoSpaceDE/>
        <w:autoSpaceDN/>
        <w:bidi w:val="0"/>
        <w:spacing w:before="0" w:after="0"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rPr>
        <w:t>技术要求</w:t>
      </w:r>
    </w:p>
    <w:p w14:paraId="67EFDE36">
      <w:pPr>
        <w:pStyle w:val="22"/>
        <w:pageBreakBefore w:val="0"/>
        <w:widowControl w:val="0"/>
        <w:tabs>
          <w:tab w:val="left" w:pos="540"/>
        </w:tabs>
        <w:kinsoku/>
        <w:wordWrap/>
        <w:overflowPunct/>
        <w:topLinePunct w:val="0"/>
        <w:autoSpaceDE/>
        <w:autoSpaceDN/>
        <w:bidi w:val="0"/>
        <w:adjustRightInd w:val="0"/>
        <w:snapToGrid w:val="0"/>
        <w:spacing w:before="0" w:beforeAutospacing="0" w:after="0" w:afterAutospacing="0" w:line="360" w:lineRule="auto"/>
        <w:ind w:firstLine="421"/>
        <w:jc w:val="both"/>
        <w:textAlignment w:val="auto"/>
        <w:outlineLvl w:val="9"/>
        <w:rPr>
          <w:rFonts w:hint="eastAsia" w:ascii="宋体" w:hAnsi="宋体" w:eastAsia="宋体" w:cs="宋体"/>
          <w:bCs/>
          <w:sz w:val="21"/>
          <w:szCs w:val="21"/>
        </w:rPr>
      </w:pPr>
      <w:r>
        <w:rPr>
          <w:rFonts w:hint="eastAsia" w:ascii="宋体" w:hAnsi="宋体" w:eastAsia="宋体" w:cs="宋体"/>
          <w:bCs/>
          <w:sz w:val="21"/>
          <w:szCs w:val="21"/>
          <w:lang w:eastAsia="zh-CN" w:bidi="ar"/>
        </w:rPr>
        <w:t>乙方</w:t>
      </w:r>
      <w:r>
        <w:rPr>
          <w:rFonts w:hint="eastAsia" w:ascii="宋体" w:hAnsi="宋体" w:eastAsia="宋体" w:cs="宋体"/>
          <w:bCs/>
          <w:sz w:val="21"/>
          <w:szCs w:val="21"/>
          <w:lang w:bidi="ar"/>
        </w:rPr>
        <w:t>所供应的所有货物，在材质、工艺、尺寸、设计、安全性、环保性、功能性、耐久性等必须符合国家行业生产、出厂标准，有合格证明，特别是材质，不得以次充好，以假冒真，以劣冒优，涂漆必须使用高品质环保净味产品，确保使用的安全、环保。</w:t>
      </w:r>
      <w:r>
        <w:rPr>
          <w:rFonts w:hint="eastAsia" w:ascii="宋体" w:hAnsi="宋体" w:eastAsia="宋体" w:cs="宋体"/>
          <w:bCs/>
          <w:sz w:val="21"/>
          <w:szCs w:val="21"/>
          <w:lang w:eastAsia="zh-CN" w:bidi="ar"/>
        </w:rPr>
        <w:t>乙方</w:t>
      </w:r>
      <w:r>
        <w:rPr>
          <w:rFonts w:hint="eastAsia" w:ascii="宋体" w:hAnsi="宋体" w:eastAsia="宋体" w:cs="宋体"/>
          <w:bCs/>
          <w:sz w:val="21"/>
          <w:szCs w:val="21"/>
          <w:lang w:bidi="ar"/>
        </w:rPr>
        <w:t>不得向</w:t>
      </w:r>
      <w:r>
        <w:rPr>
          <w:rFonts w:hint="eastAsia" w:ascii="宋体" w:hAnsi="宋体" w:eastAsia="宋体" w:cs="宋体"/>
          <w:bCs/>
          <w:sz w:val="21"/>
          <w:szCs w:val="21"/>
          <w:lang w:eastAsia="zh-CN" w:bidi="ar"/>
        </w:rPr>
        <w:t>甲方</w:t>
      </w:r>
      <w:r>
        <w:rPr>
          <w:rFonts w:hint="eastAsia" w:ascii="宋体" w:hAnsi="宋体" w:eastAsia="宋体" w:cs="宋体"/>
          <w:bCs/>
          <w:sz w:val="21"/>
          <w:szCs w:val="21"/>
          <w:lang w:bidi="ar"/>
        </w:rPr>
        <w:t>供应如甲醛超标、刺激性气味强、设计不合理等可能存在质量安全问题、对人体有害的货物。如存在上述情形或其它影响使用情形的，</w:t>
      </w:r>
      <w:r>
        <w:rPr>
          <w:rFonts w:hint="eastAsia" w:ascii="宋体" w:hAnsi="宋体" w:eastAsia="宋体" w:cs="宋体"/>
          <w:bCs/>
          <w:sz w:val="21"/>
          <w:szCs w:val="21"/>
          <w:lang w:eastAsia="zh-CN" w:bidi="ar"/>
        </w:rPr>
        <w:t>甲方</w:t>
      </w:r>
      <w:r>
        <w:rPr>
          <w:rFonts w:hint="eastAsia" w:ascii="宋体" w:hAnsi="宋体" w:eastAsia="宋体" w:cs="宋体"/>
          <w:bCs/>
          <w:sz w:val="21"/>
          <w:szCs w:val="21"/>
          <w:lang w:bidi="ar"/>
        </w:rPr>
        <w:t>有权对所供应的货物在验收时邀请专业有资质的第三方机构进行检测，对于验收不合格的</w:t>
      </w:r>
      <w:r>
        <w:rPr>
          <w:rFonts w:hint="eastAsia" w:ascii="宋体" w:hAnsi="宋体" w:eastAsia="宋体" w:cs="宋体"/>
          <w:bCs/>
          <w:sz w:val="21"/>
          <w:szCs w:val="21"/>
          <w:lang w:eastAsia="zh-CN" w:bidi="ar"/>
        </w:rPr>
        <w:t>乙方</w:t>
      </w:r>
      <w:r>
        <w:rPr>
          <w:rFonts w:hint="eastAsia" w:ascii="宋体" w:hAnsi="宋体" w:eastAsia="宋体" w:cs="宋体"/>
          <w:bCs/>
          <w:sz w:val="21"/>
          <w:szCs w:val="21"/>
          <w:lang w:bidi="ar"/>
        </w:rPr>
        <w:t>，将严格追究其违约责任并追偿因此而造成的所有损失。</w:t>
      </w:r>
    </w:p>
    <w:p w14:paraId="3FFC0A42">
      <w:pPr>
        <w:pStyle w:val="22"/>
        <w:pageBreakBefore w:val="0"/>
        <w:widowControl w:val="0"/>
        <w:tabs>
          <w:tab w:val="left" w:pos="540"/>
        </w:tabs>
        <w:kinsoku/>
        <w:wordWrap/>
        <w:overflowPunct/>
        <w:topLinePunct w:val="0"/>
        <w:autoSpaceDE/>
        <w:autoSpaceDN/>
        <w:bidi w:val="0"/>
        <w:adjustRightInd w:val="0"/>
        <w:snapToGrid w:val="0"/>
        <w:spacing w:before="0" w:beforeAutospacing="0" w:after="0" w:afterAutospacing="0" w:line="360" w:lineRule="auto"/>
        <w:ind w:firstLine="421"/>
        <w:jc w:val="both"/>
        <w:textAlignment w:val="auto"/>
        <w:outlineLvl w:val="9"/>
        <w:rPr>
          <w:rFonts w:hint="eastAsia" w:ascii="宋体" w:hAnsi="宋体" w:eastAsia="宋体" w:cs="宋体"/>
          <w:sz w:val="21"/>
          <w:szCs w:val="21"/>
        </w:rPr>
      </w:pPr>
      <w:r>
        <w:rPr>
          <w:rFonts w:hint="eastAsia" w:ascii="宋体" w:hAnsi="宋体" w:eastAsia="宋体" w:cs="宋体"/>
          <w:bCs/>
          <w:sz w:val="21"/>
          <w:szCs w:val="21"/>
          <w:lang w:bidi="ar"/>
        </w:rPr>
        <w:t>表格中所有图片样式仅供参考,</w:t>
      </w:r>
      <w:r>
        <w:rPr>
          <w:rFonts w:hint="eastAsia" w:cs="宋体"/>
          <w:bCs/>
          <w:sz w:val="21"/>
          <w:szCs w:val="21"/>
          <w:lang w:eastAsia="zh-CN" w:bidi="ar"/>
        </w:rPr>
        <w:t>室内</w:t>
      </w:r>
      <w:r>
        <w:rPr>
          <w:rFonts w:hint="eastAsia" w:ascii="宋体" w:hAnsi="宋体" w:eastAsia="宋体" w:cs="宋体"/>
          <w:bCs/>
          <w:sz w:val="21"/>
          <w:szCs w:val="21"/>
          <w:lang w:bidi="ar"/>
        </w:rPr>
        <w:t>配置需保持色调一致，整体简约大方，规格参数必须满足或优于设定的标准，不得低于设定的标准。具体产品的技术、参数要求详见下表：</w:t>
      </w:r>
    </w:p>
    <w:p w14:paraId="34A73DFA">
      <w:pPr>
        <w:tabs>
          <w:tab w:val="left" w:pos="1259"/>
        </w:tabs>
        <w:outlineLvl w:val="9"/>
        <w:rPr>
          <w:rFonts w:hint="eastAsia" w:ascii="宋体" w:hAnsi="宋体" w:eastAsia="宋体" w:cs="宋体"/>
        </w:rPr>
        <w:sectPr>
          <w:footerReference r:id="rId4" w:type="default"/>
          <w:pgSz w:w="11906" w:h="16838"/>
          <w:pgMar w:top="1440" w:right="1797" w:bottom="1440" w:left="1797" w:header="851" w:footer="992" w:gutter="0"/>
          <w:cols w:space="720" w:num="1"/>
          <w:docGrid w:type="lines" w:linePitch="312" w:charSpace="0"/>
        </w:sect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305"/>
        <w:gridCol w:w="1994"/>
        <w:gridCol w:w="456"/>
        <w:gridCol w:w="509"/>
        <w:gridCol w:w="2223"/>
        <w:gridCol w:w="5988"/>
        <w:gridCol w:w="1213"/>
      </w:tblGrid>
      <w:tr w14:paraId="2B010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shd w:val="clear" w:color="000000" w:fill="FFFFFF"/>
            <w:vAlign w:val="center"/>
          </w:tcPr>
          <w:p w14:paraId="07708830">
            <w:pPr>
              <w:keepNext w:val="0"/>
              <w:keepLines w:val="0"/>
              <w:widowControl/>
              <w:suppressLineNumbers w:val="0"/>
              <w:jc w:val="center"/>
              <w:textAlignment w:val="center"/>
              <w:outlineLvl w:val="9"/>
              <w:rPr>
                <w:rFonts w:hint="eastAsia" w:ascii="宋体" w:hAnsi="宋体" w:eastAsia="宋体" w:cs="宋体"/>
                <w:b/>
                <w:bCs/>
                <w:szCs w:val="21"/>
              </w:rPr>
            </w:pPr>
            <w:r>
              <w:rPr>
                <w:rFonts w:hint="eastAsia" w:ascii="宋体" w:hAnsi="宋体" w:eastAsia="宋体" w:cs="宋体"/>
                <w:i w:val="0"/>
                <w:iCs w:val="0"/>
                <w:color w:val="000000"/>
                <w:kern w:val="0"/>
                <w:sz w:val="18"/>
                <w:szCs w:val="18"/>
                <w:u w:val="none"/>
                <w:lang w:val="en-US" w:eastAsia="zh-CN" w:bidi="ar"/>
              </w:rPr>
              <w:t>序号</w:t>
            </w:r>
          </w:p>
        </w:tc>
        <w:tc>
          <w:tcPr>
            <w:tcW w:w="1305" w:type="dxa"/>
            <w:shd w:val="clear" w:color="000000" w:fill="FFFFFF"/>
            <w:vAlign w:val="center"/>
          </w:tcPr>
          <w:p w14:paraId="0B580695">
            <w:pPr>
              <w:keepNext w:val="0"/>
              <w:keepLines w:val="0"/>
              <w:widowControl/>
              <w:suppressLineNumbers w:val="0"/>
              <w:jc w:val="center"/>
              <w:textAlignment w:val="center"/>
              <w:outlineLvl w:val="9"/>
              <w:rPr>
                <w:rFonts w:hint="eastAsia" w:ascii="宋体" w:hAnsi="宋体" w:eastAsia="宋体" w:cs="宋体"/>
                <w:b/>
                <w:bCs/>
                <w:szCs w:val="21"/>
              </w:rPr>
            </w:pPr>
            <w:r>
              <w:rPr>
                <w:rFonts w:hint="eastAsia" w:ascii="宋体" w:hAnsi="宋体" w:eastAsia="宋体" w:cs="宋体"/>
                <w:i w:val="0"/>
                <w:iCs w:val="0"/>
                <w:color w:val="000000"/>
                <w:kern w:val="0"/>
                <w:sz w:val="18"/>
                <w:szCs w:val="18"/>
                <w:u w:val="none"/>
                <w:lang w:val="en-US" w:eastAsia="zh-CN" w:bidi="ar"/>
              </w:rPr>
              <w:t>项目名称</w:t>
            </w:r>
          </w:p>
        </w:tc>
        <w:tc>
          <w:tcPr>
            <w:tcW w:w="1994" w:type="dxa"/>
            <w:shd w:val="clear" w:color="000000" w:fill="FFFFFF"/>
            <w:vAlign w:val="center"/>
          </w:tcPr>
          <w:p w14:paraId="5F315769">
            <w:pPr>
              <w:keepNext w:val="0"/>
              <w:keepLines w:val="0"/>
              <w:widowControl/>
              <w:suppressLineNumbers w:val="0"/>
              <w:jc w:val="center"/>
              <w:textAlignment w:val="center"/>
              <w:outlineLvl w:val="9"/>
              <w:rPr>
                <w:rFonts w:hint="eastAsia" w:ascii="宋体" w:hAnsi="宋体" w:eastAsia="宋体" w:cs="宋体"/>
                <w:b/>
                <w:bCs/>
                <w:szCs w:val="21"/>
              </w:rPr>
            </w:pPr>
            <w:r>
              <w:rPr>
                <w:rFonts w:hint="eastAsia" w:ascii="宋体" w:hAnsi="宋体" w:eastAsia="宋体" w:cs="宋体"/>
                <w:i w:val="0"/>
                <w:iCs w:val="0"/>
                <w:color w:val="000000"/>
                <w:kern w:val="0"/>
                <w:sz w:val="18"/>
                <w:szCs w:val="18"/>
                <w:u w:val="none"/>
                <w:lang w:val="en-US" w:eastAsia="zh-CN" w:bidi="ar"/>
              </w:rPr>
              <w:t>参数（投影面积）</w:t>
            </w:r>
          </w:p>
        </w:tc>
        <w:tc>
          <w:tcPr>
            <w:tcW w:w="0" w:type="auto"/>
            <w:shd w:val="clear" w:color="000000" w:fill="FFFFFF"/>
            <w:vAlign w:val="center"/>
          </w:tcPr>
          <w:p w14:paraId="52AED92F">
            <w:pPr>
              <w:keepNext w:val="0"/>
              <w:keepLines w:val="0"/>
              <w:widowControl/>
              <w:suppressLineNumbers w:val="0"/>
              <w:jc w:val="center"/>
              <w:textAlignment w:val="center"/>
              <w:outlineLvl w:val="9"/>
              <w:rPr>
                <w:rFonts w:hint="eastAsia" w:ascii="宋体" w:hAnsi="宋体" w:eastAsia="宋体" w:cs="宋体"/>
                <w:b/>
                <w:bCs/>
                <w:szCs w:val="21"/>
              </w:rPr>
            </w:pPr>
            <w:r>
              <w:rPr>
                <w:rFonts w:hint="eastAsia" w:ascii="宋体" w:hAnsi="宋体" w:eastAsia="宋体" w:cs="宋体"/>
                <w:i w:val="0"/>
                <w:iCs w:val="0"/>
                <w:color w:val="000000"/>
                <w:kern w:val="0"/>
                <w:sz w:val="18"/>
                <w:szCs w:val="18"/>
                <w:u w:val="none"/>
                <w:lang w:val="en-US" w:eastAsia="zh-CN" w:bidi="ar"/>
              </w:rPr>
              <w:t>单位</w:t>
            </w:r>
          </w:p>
        </w:tc>
        <w:tc>
          <w:tcPr>
            <w:tcW w:w="0" w:type="auto"/>
            <w:shd w:val="clear" w:color="000000" w:fill="FFFFFF"/>
            <w:vAlign w:val="center"/>
          </w:tcPr>
          <w:p w14:paraId="7C1AD266">
            <w:pPr>
              <w:keepNext w:val="0"/>
              <w:keepLines w:val="0"/>
              <w:widowControl/>
              <w:suppressLineNumbers w:val="0"/>
              <w:jc w:val="center"/>
              <w:textAlignment w:val="center"/>
              <w:outlineLvl w:val="9"/>
              <w:rPr>
                <w:rFonts w:hint="eastAsia" w:ascii="宋体" w:hAnsi="宋体" w:eastAsia="宋体" w:cs="宋体"/>
                <w:b/>
                <w:bCs/>
                <w:szCs w:val="21"/>
              </w:rPr>
            </w:pPr>
            <w:r>
              <w:rPr>
                <w:rFonts w:hint="eastAsia" w:ascii="宋体" w:hAnsi="宋体" w:eastAsia="宋体" w:cs="宋体"/>
                <w:i w:val="0"/>
                <w:iCs w:val="0"/>
                <w:color w:val="000000"/>
                <w:kern w:val="0"/>
                <w:sz w:val="18"/>
                <w:szCs w:val="18"/>
                <w:u w:val="none"/>
                <w:lang w:val="en-US" w:eastAsia="zh-CN" w:bidi="ar"/>
              </w:rPr>
              <w:t>数量</w:t>
            </w:r>
          </w:p>
        </w:tc>
        <w:tc>
          <w:tcPr>
            <w:tcW w:w="2223" w:type="dxa"/>
            <w:shd w:val="clear" w:color="000000" w:fill="FFFFFF"/>
            <w:vAlign w:val="center"/>
          </w:tcPr>
          <w:p w14:paraId="2B594CF9">
            <w:pPr>
              <w:keepNext w:val="0"/>
              <w:keepLines w:val="0"/>
              <w:widowControl/>
              <w:suppressLineNumbers w:val="0"/>
              <w:jc w:val="center"/>
              <w:textAlignment w:val="center"/>
              <w:outlineLvl w:val="9"/>
              <w:rPr>
                <w:rFonts w:hint="eastAsia" w:ascii="宋体" w:hAnsi="宋体" w:eastAsia="宋体" w:cs="宋体"/>
                <w:b/>
                <w:bCs/>
                <w:szCs w:val="21"/>
              </w:rPr>
            </w:pPr>
            <w:r>
              <w:rPr>
                <w:rFonts w:hint="eastAsia" w:ascii="宋体" w:hAnsi="宋体" w:eastAsia="宋体" w:cs="宋体"/>
                <w:i w:val="0"/>
                <w:iCs w:val="0"/>
                <w:color w:val="000000"/>
                <w:kern w:val="0"/>
                <w:sz w:val="18"/>
                <w:szCs w:val="18"/>
                <w:u w:val="none"/>
                <w:lang w:val="en-US" w:eastAsia="zh-CN" w:bidi="ar"/>
              </w:rPr>
              <w:t>参考图片</w:t>
            </w:r>
          </w:p>
        </w:tc>
        <w:tc>
          <w:tcPr>
            <w:tcW w:w="5988" w:type="dxa"/>
            <w:shd w:val="clear" w:color="000000" w:fill="FFFFFF"/>
            <w:vAlign w:val="center"/>
          </w:tcPr>
          <w:p w14:paraId="27420111">
            <w:pPr>
              <w:keepNext w:val="0"/>
              <w:keepLines w:val="0"/>
              <w:widowControl/>
              <w:suppressLineNumbers w:val="0"/>
              <w:jc w:val="center"/>
              <w:textAlignment w:val="center"/>
              <w:outlineLvl w:val="9"/>
              <w:rPr>
                <w:rFonts w:hint="eastAsia" w:ascii="宋体" w:hAnsi="宋体" w:eastAsia="宋体" w:cs="宋体"/>
                <w:b/>
                <w:bCs/>
                <w:szCs w:val="21"/>
              </w:rPr>
            </w:pPr>
            <w:r>
              <w:rPr>
                <w:rFonts w:hint="eastAsia" w:ascii="宋体" w:hAnsi="宋体" w:eastAsia="宋体" w:cs="宋体"/>
                <w:i w:val="0"/>
                <w:iCs w:val="0"/>
                <w:color w:val="000000"/>
                <w:kern w:val="0"/>
                <w:sz w:val="18"/>
                <w:szCs w:val="18"/>
                <w:u w:val="none"/>
                <w:lang w:val="en-US" w:eastAsia="zh-CN" w:bidi="ar"/>
              </w:rPr>
              <w:t>材质要求</w:t>
            </w:r>
          </w:p>
        </w:tc>
        <w:tc>
          <w:tcPr>
            <w:tcW w:w="0" w:type="auto"/>
            <w:shd w:val="clear" w:color="000000" w:fill="FFFFFF"/>
            <w:vAlign w:val="center"/>
          </w:tcPr>
          <w:p w14:paraId="5F200B22">
            <w:pPr>
              <w:keepNext w:val="0"/>
              <w:keepLines w:val="0"/>
              <w:widowControl/>
              <w:suppressLineNumbers w:val="0"/>
              <w:jc w:val="center"/>
              <w:textAlignment w:val="center"/>
              <w:outlineLvl w:val="9"/>
              <w:rPr>
                <w:rFonts w:hint="default"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3"/>
                <w:szCs w:val="13"/>
                <w:u w:val="none"/>
                <w:lang w:val="en-US" w:eastAsia="zh-CN" w:bidi="ar"/>
              </w:rPr>
              <w:t>备注</w:t>
            </w:r>
          </w:p>
        </w:tc>
      </w:tr>
      <w:tr w14:paraId="361B9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shd w:val="clear" w:color="auto" w:fill="auto"/>
            <w:vAlign w:val="center"/>
          </w:tcPr>
          <w:p w14:paraId="79A579C9">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1</w:t>
            </w:r>
          </w:p>
        </w:tc>
        <w:tc>
          <w:tcPr>
            <w:tcW w:w="1305" w:type="dxa"/>
            <w:shd w:val="clear" w:color="auto" w:fill="auto"/>
            <w:vAlign w:val="center"/>
          </w:tcPr>
          <w:p w14:paraId="6BDE6041">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定制柜（高柜）</w:t>
            </w:r>
          </w:p>
        </w:tc>
        <w:tc>
          <w:tcPr>
            <w:tcW w:w="1994" w:type="dxa"/>
            <w:shd w:val="clear" w:color="auto" w:fill="auto"/>
            <w:vAlign w:val="center"/>
          </w:tcPr>
          <w:p w14:paraId="22EFE525">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1.1*2.35M=2.585㎡</w:t>
            </w:r>
          </w:p>
        </w:tc>
        <w:tc>
          <w:tcPr>
            <w:tcW w:w="0" w:type="auto"/>
            <w:shd w:val="clear" w:color="auto" w:fill="auto"/>
            <w:vAlign w:val="center"/>
          </w:tcPr>
          <w:p w14:paraId="346A125D">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个</w:t>
            </w:r>
          </w:p>
        </w:tc>
        <w:tc>
          <w:tcPr>
            <w:tcW w:w="0" w:type="auto"/>
            <w:shd w:val="clear" w:color="auto" w:fill="auto"/>
            <w:vAlign w:val="center"/>
          </w:tcPr>
          <w:p w14:paraId="09121FB4">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1</w:t>
            </w:r>
          </w:p>
        </w:tc>
        <w:tc>
          <w:tcPr>
            <w:tcW w:w="2223" w:type="dxa"/>
            <w:vMerge w:val="restart"/>
            <w:shd w:val="clear" w:color="auto" w:fill="auto"/>
            <w:vAlign w:val="center"/>
          </w:tcPr>
          <w:p w14:paraId="2915FF1F">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439420</wp:posOffset>
                  </wp:positionH>
                  <wp:positionV relativeFrom="paragraph">
                    <wp:posOffset>113030</wp:posOffset>
                  </wp:positionV>
                  <wp:extent cx="601980" cy="844550"/>
                  <wp:effectExtent l="0" t="0" r="7620" b="12700"/>
                  <wp:wrapNone/>
                  <wp:docPr id="188" name="ID_02E26D29CC4041F0AA19AE92D7739D74"/>
                  <wp:cNvGraphicFramePr/>
                  <a:graphic xmlns:a="http://schemas.openxmlformats.org/drawingml/2006/main">
                    <a:graphicData uri="http://schemas.openxmlformats.org/drawingml/2006/picture">
                      <pic:pic xmlns:pic="http://schemas.openxmlformats.org/drawingml/2006/picture">
                        <pic:nvPicPr>
                          <pic:cNvPr id="188" name="ID_02E26D29CC4041F0AA19AE92D7739D74"/>
                          <pic:cNvPicPr/>
                        </pic:nvPicPr>
                        <pic:blipFill>
                          <a:blip r:embed="rId9"/>
                          <a:stretch>
                            <a:fillRect/>
                          </a:stretch>
                        </pic:blipFill>
                        <pic:spPr>
                          <a:xfrm>
                            <a:off x="0" y="0"/>
                            <a:ext cx="601980" cy="844550"/>
                          </a:xfrm>
                          <a:prstGeom prst="rect">
                            <a:avLst/>
                          </a:prstGeom>
                          <a:noFill/>
                          <a:ln>
                            <a:noFill/>
                          </a:ln>
                        </pic:spPr>
                      </pic:pic>
                    </a:graphicData>
                  </a:graphic>
                </wp:anchor>
              </w:drawing>
            </w:r>
          </w:p>
        </w:tc>
        <w:tc>
          <w:tcPr>
            <w:tcW w:w="5988" w:type="dxa"/>
            <w:vMerge w:val="restart"/>
            <w:shd w:val="clear" w:color="auto" w:fill="auto"/>
            <w:vAlign w:val="center"/>
          </w:tcPr>
          <w:p w14:paraId="5135C2DD">
            <w:pPr>
              <w:keepNext w:val="0"/>
              <w:keepLines w:val="0"/>
              <w:widowControl/>
              <w:suppressLineNumbers w:val="0"/>
              <w:jc w:val="left"/>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1、采用E0级多层实木板，柜体18MM，背板用9MM，层板18MM（颜色由成交供应商提供色板给采购人确定）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2、采用百隆304不锈钢门铰，高韧性弹簧，开合无声低分贝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3、符合国家《室内装饰装修材料人造板及其制品中甲醛释放限量》(GB18580-2017)，及《人造板及其制品甲醛释放量分级》(GB/T 39600-2021)的相关标准</w:t>
            </w:r>
          </w:p>
        </w:tc>
        <w:tc>
          <w:tcPr>
            <w:tcW w:w="0" w:type="auto"/>
            <w:shd w:val="clear" w:color="auto" w:fill="auto"/>
            <w:vAlign w:val="center"/>
          </w:tcPr>
          <w:p w14:paraId="47F917F3">
            <w:pPr>
              <w:keepNext w:val="0"/>
              <w:keepLines w:val="0"/>
              <w:widowControl/>
              <w:suppressLineNumbers w:val="0"/>
              <w:jc w:val="center"/>
              <w:textAlignment w:val="center"/>
              <w:outlineLvl w:val="9"/>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3"/>
                <w:szCs w:val="13"/>
                <w:u w:val="none"/>
                <w:lang w:val="en-US" w:eastAsia="zh-CN" w:bidi="ar"/>
              </w:rPr>
              <w:t>含锁及所有配件</w:t>
            </w:r>
          </w:p>
        </w:tc>
      </w:tr>
      <w:tr w14:paraId="37BCE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shd w:val="clear" w:color="auto" w:fill="auto"/>
            <w:vAlign w:val="center"/>
          </w:tcPr>
          <w:p w14:paraId="58EFA004">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2</w:t>
            </w:r>
          </w:p>
        </w:tc>
        <w:tc>
          <w:tcPr>
            <w:tcW w:w="1305" w:type="dxa"/>
            <w:shd w:val="clear" w:color="auto" w:fill="auto"/>
            <w:vAlign w:val="center"/>
          </w:tcPr>
          <w:p w14:paraId="672CED7E">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定制柜（高柜）</w:t>
            </w:r>
          </w:p>
        </w:tc>
        <w:tc>
          <w:tcPr>
            <w:tcW w:w="1994" w:type="dxa"/>
            <w:shd w:val="clear" w:color="auto" w:fill="auto"/>
            <w:vAlign w:val="center"/>
          </w:tcPr>
          <w:p w14:paraId="4125DFD1">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1.1*2.35M=2.585㎡</w:t>
            </w:r>
          </w:p>
        </w:tc>
        <w:tc>
          <w:tcPr>
            <w:tcW w:w="0" w:type="auto"/>
            <w:shd w:val="clear" w:color="auto" w:fill="auto"/>
            <w:noWrap/>
            <w:vAlign w:val="center"/>
          </w:tcPr>
          <w:p w14:paraId="63DB3E59">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个</w:t>
            </w:r>
          </w:p>
        </w:tc>
        <w:tc>
          <w:tcPr>
            <w:tcW w:w="0" w:type="auto"/>
            <w:shd w:val="clear" w:color="auto" w:fill="auto"/>
            <w:vAlign w:val="center"/>
          </w:tcPr>
          <w:p w14:paraId="002DE76D">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1</w:t>
            </w:r>
          </w:p>
        </w:tc>
        <w:tc>
          <w:tcPr>
            <w:tcW w:w="2223" w:type="dxa"/>
            <w:vMerge w:val="continue"/>
            <w:shd w:val="clear" w:color="auto" w:fill="auto"/>
            <w:vAlign w:val="center"/>
          </w:tcPr>
          <w:p w14:paraId="78C538C9">
            <w:pPr>
              <w:jc w:val="center"/>
              <w:outlineLvl w:val="9"/>
              <w:rPr>
                <w:rFonts w:hint="eastAsia" w:ascii="宋体" w:hAnsi="宋体" w:eastAsia="宋体" w:cs="宋体"/>
                <w:szCs w:val="21"/>
              </w:rPr>
            </w:pPr>
          </w:p>
        </w:tc>
        <w:tc>
          <w:tcPr>
            <w:tcW w:w="5988" w:type="dxa"/>
            <w:vMerge w:val="continue"/>
            <w:shd w:val="clear" w:color="auto" w:fill="auto"/>
            <w:vAlign w:val="center"/>
          </w:tcPr>
          <w:p w14:paraId="154A1A30">
            <w:pPr>
              <w:jc w:val="left"/>
              <w:outlineLvl w:val="9"/>
              <w:rPr>
                <w:rFonts w:hint="eastAsia" w:ascii="宋体" w:hAnsi="宋体" w:eastAsia="宋体" w:cs="宋体"/>
                <w:szCs w:val="21"/>
              </w:rPr>
            </w:pPr>
          </w:p>
        </w:tc>
        <w:tc>
          <w:tcPr>
            <w:tcW w:w="0" w:type="auto"/>
            <w:shd w:val="clear" w:color="auto" w:fill="auto"/>
            <w:vAlign w:val="center"/>
          </w:tcPr>
          <w:p w14:paraId="4B752B0E">
            <w:pPr>
              <w:keepNext w:val="0"/>
              <w:keepLines w:val="0"/>
              <w:widowControl/>
              <w:suppressLineNumbers w:val="0"/>
              <w:jc w:val="center"/>
              <w:textAlignment w:val="center"/>
              <w:outlineLvl w:val="9"/>
              <w:rPr>
                <w:rFonts w:hint="eastAsia" w:ascii="宋体" w:hAnsi="宋体" w:eastAsia="宋体" w:cs="宋体"/>
                <w:sz w:val="11"/>
                <w:szCs w:val="11"/>
              </w:rPr>
            </w:pPr>
            <w:r>
              <w:rPr>
                <w:rFonts w:hint="eastAsia" w:ascii="宋体" w:hAnsi="宋体" w:eastAsia="宋体" w:cs="宋体"/>
                <w:i w:val="0"/>
                <w:iCs w:val="0"/>
                <w:color w:val="000000"/>
                <w:kern w:val="0"/>
                <w:sz w:val="13"/>
                <w:szCs w:val="13"/>
                <w:u w:val="none"/>
                <w:lang w:val="en-US" w:eastAsia="zh-CN" w:bidi="ar"/>
              </w:rPr>
              <w:t>深度60CM</w:t>
            </w:r>
          </w:p>
        </w:tc>
      </w:tr>
      <w:tr w14:paraId="57BA4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shd w:val="clear" w:color="auto" w:fill="auto"/>
            <w:vAlign w:val="center"/>
          </w:tcPr>
          <w:p w14:paraId="2D447CCB">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3</w:t>
            </w:r>
          </w:p>
        </w:tc>
        <w:tc>
          <w:tcPr>
            <w:tcW w:w="1305" w:type="dxa"/>
            <w:shd w:val="clear" w:color="auto" w:fill="auto"/>
            <w:vAlign w:val="center"/>
          </w:tcPr>
          <w:p w14:paraId="7D672600">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定制柜（长柜）</w:t>
            </w:r>
          </w:p>
        </w:tc>
        <w:tc>
          <w:tcPr>
            <w:tcW w:w="1994" w:type="dxa"/>
            <w:shd w:val="clear" w:color="auto" w:fill="auto"/>
            <w:vAlign w:val="center"/>
          </w:tcPr>
          <w:p w14:paraId="261E33DB">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3.37*0.8M=2.696㎡</w:t>
            </w:r>
          </w:p>
        </w:tc>
        <w:tc>
          <w:tcPr>
            <w:tcW w:w="0" w:type="auto"/>
            <w:shd w:val="clear" w:color="auto" w:fill="auto"/>
            <w:vAlign w:val="center"/>
          </w:tcPr>
          <w:p w14:paraId="6269557F">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个</w:t>
            </w:r>
          </w:p>
        </w:tc>
        <w:tc>
          <w:tcPr>
            <w:tcW w:w="0" w:type="auto"/>
            <w:shd w:val="clear" w:color="auto" w:fill="auto"/>
            <w:vAlign w:val="center"/>
          </w:tcPr>
          <w:p w14:paraId="5E157CB6">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2</w:t>
            </w:r>
          </w:p>
        </w:tc>
        <w:tc>
          <w:tcPr>
            <w:tcW w:w="2223" w:type="dxa"/>
            <w:vMerge w:val="restart"/>
            <w:shd w:val="clear" w:color="auto" w:fill="auto"/>
            <w:vAlign w:val="center"/>
          </w:tcPr>
          <w:p w14:paraId="1DA8CA99">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-13335</wp:posOffset>
                  </wp:positionH>
                  <wp:positionV relativeFrom="paragraph">
                    <wp:posOffset>572135</wp:posOffset>
                  </wp:positionV>
                  <wp:extent cx="1295400" cy="934085"/>
                  <wp:effectExtent l="0" t="0" r="0" b="18415"/>
                  <wp:wrapNone/>
                  <wp:docPr id="189" name="ID_BFD80830D2F54D5D8A065E426FB41A89"/>
                  <wp:cNvGraphicFramePr/>
                  <a:graphic xmlns:a="http://schemas.openxmlformats.org/drawingml/2006/main">
                    <a:graphicData uri="http://schemas.openxmlformats.org/drawingml/2006/picture">
                      <pic:pic xmlns:pic="http://schemas.openxmlformats.org/drawingml/2006/picture">
                        <pic:nvPicPr>
                          <pic:cNvPr id="189" name="ID_BFD80830D2F54D5D8A065E426FB41A89"/>
                          <pic:cNvPicPr/>
                        </pic:nvPicPr>
                        <pic:blipFill>
                          <a:blip r:embed="rId10"/>
                          <a:stretch>
                            <a:fillRect/>
                          </a:stretch>
                        </pic:blipFill>
                        <pic:spPr>
                          <a:xfrm>
                            <a:off x="0" y="0"/>
                            <a:ext cx="1295400" cy="934085"/>
                          </a:xfrm>
                          <a:prstGeom prst="rect">
                            <a:avLst/>
                          </a:prstGeom>
                          <a:noFill/>
                          <a:ln>
                            <a:noFill/>
                          </a:ln>
                        </pic:spPr>
                      </pic:pic>
                    </a:graphicData>
                  </a:graphic>
                </wp:anchor>
              </w:drawing>
            </w:r>
          </w:p>
        </w:tc>
        <w:tc>
          <w:tcPr>
            <w:tcW w:w="5988" w:type="dxa"/>
            <w:vMerge w:val="restart"/>
            <w:shd w:val="clear" w:color="auto" w:fill="auto"/>
            <w:vAlign w:val="center"/>
          </w:tcPr>
          <w:p w14:paraId="4D8842D9">
            <w:pPr>
              <w:keepNext w:val="0"/>
              <w:keepLines w:val="0"/>
              <w:widowControl/>
              <w:suppressLineNumbers w:val="0"/>
              <w:jc w:val="left"/>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1、采用E0级多层实木板，柜体18MM，背板用9MM，层板18MM（颜色由成交供应商提供色板给采购人确定）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2、采用百隆304不锈钢门铰，高韧性弹簧，开合无声低分贝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3、符合国家《室内装饰装修材料人造板及其制品中甲醛释放限量》(GB18580-2017)，及《人造板及其制品甲醛释放量分级》(GB/T 39600-2021)的相关标准</w:t>
            </w:r>
          </w:p>
        </w:tc>
        <w:tc>
          <w:tcPr>
            <w:tcW w:w="0" w:type="auto"/>
            <w:shd w:val="clear" w:color="auto" w:fill="auto"/>
            <w:vAlign w:val="center"/>
          </w:tcPr>
          <w:p w14:paraId="03B4B8CA">
            <w:pPr>
              <w:keepNext w:val="0"/>
              <w:keepLines w:val="0"/>
              <w:widowControl/>
              <w:suppressLineNumbers w:val="0"/>
              <w:jc w:val="center"/>
              <w:textAlignment w:val="center"/>
              <w:outlineLvl w:val="9"/>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3"/>
                <w:szCs w:val="13"/>
                <w:u w:val="none"/>
                <w:lang w:val="en-US" w:eastAsia="zh-CN" w:bidi="ar"/>
              </w:rPr>
              <w:t>可依据实际情况拆分3-4个，含锁及所有配件</w:t>
            </w:r>
          </w:p>
        </w:tc>
      </w:tr>
      <w:tr w14:paraId="1C7F8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shd w:val="clear" w:color="auto" w:fill="auto"/>
            <w:vAlign w:val="center"/>
          </w:tcPr>
          <w:p w14:paraId="6794FEEF">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4</w:t>
            </w:r>
          </w:p>
        </w:tc>
        <w:tc>
          <w:tcPr>
            <w:tcW w:w="1305" w:type="dxa"/>
            <w:shd w:val="clear" w:color="auto" w:fill="auto"/>
            <w:vAlign w:val="center"/>
          </w:tcPr>
          <w:p w14:paraId="7441E638">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定制柜（长柜）</w:t>
            </w:r>
          </w:p>
        </w:tc>
        <w:tc>
          <w:tcPr>
            <w:tcW w:w="1994" w:type="dxa"/>
            <w:shd w:val="clear" w:color="auto" w:fill="auto"/>
            <w:vAlign w:val="center"/>
          </w:tcPr>
          <w:p w14:paraId="72420D99">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3.99*0.8M=3.192㎡</w:t>
            </w:r>
          </w:p>
        </w:tc>
        <w:tc>
          <w:tcPr>
            <w:tcW w:w="0" w:type="auto"/>
            <w:shd w:val="clear" w:color="auto" w:fill="auto"/>
            <w:noWrap/>
            <w:vAlign w:val="center"/>
          </w:tcPr>
          <w:p w14:paraId="28BFF63D">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个</w:t>
            </w:r>
          </w:p>
        </w:tc>
        <w:tc>
          <w:tcPr>
            <w:tcW w:w="0" w:type="auto"/>
            <w:shd w:val="clear" w:color="auto" w:fill="auto"/>
            <w:vAlign w:val="center"/>
          </w:tcPr>
          <w:p w14:paraId="6C95A92C">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2</w:t>
            </w:r>
          </w:p>
        </w:tc>
        <w:tc>
          <w:tcPr>
            <w:tcW w:w="2223" w:type="dxa"/>
            <w:vMerge w:val="continue"/>
            <w:shd w:val="clear" w:color="auto" w:fill="auto"/>
            <w:vAlign w:val="center"/>
          </w:tcPr>
          <w:p w14:paraId="07D9DB88">
            <w:pPr>
              <w:jc w:val="center"/>
              <w:outlineLvl w:val="9"/>
              <w:rPr>
                <w:rFonts w:hint="eastAsia" w:ascii="宋体" w:hAnsi="宋体" w:eastAsia="宋体" w:cs="宋体"/>
                <w:szCs w:val="21"/>
              </w:rPr>
            </w:pPr>
          </w:p>
        </w:tc>
        <w:tc>
          <w:tcPr>
            <w:tcW w:w="5988" w:type="dxa"/>
            <w:vMerge w:val="continue"/>
            <w:shd w:val="clear" w:color="auto" w:fill="auto"/>
            <w:vAlign w:val="center"/>
          </w:tcPr>
          <w:p w14:paraId="6334E607">
            <w:pPr>
              <w:jc w:val="left"/>
              <w:outlineLvl w:val="9"/>
              <w:rPr>
                <w:rFonts w:hint="eastAsia" w:ascii="宋体" w:hAnsi="宋体" w:eastAsia="宋体" w:cs="宋体"/>
                <w:szCs w:val="21"/>
              </w:rPr>
            </w:pPr>
          </w:p>
        </w:tc>
        <w:tc>
          <w:tcPr>
            <w:tcW w:w="0" w:type="auto"/>
            <w:shd w:val="clear" w:color="auto" w:fill="auto"/>
            <w:vAlign w:val="center"/>
          </w:tcPr>
          <w:p w14:paraId="6EFDCD88">
            <w:pPr>
              <w:jc w:val="center"/>
              <w:outlineLvl w:val="9"/>
              <w:rPr>
                <w:rFonts w:hint="eastAsia" w:ascii="宋体" w:hAnsi="宋体" w:eastAsia="宋体" w:cs="宋体"/>
                <w:sz w:val="10"/>
                <w:szCs w:val="11"/>
              </w:rPr>
            </w:pPr>
          </w:p>
        </w:tc>
      </w:tr>
      <w:tr w14:paraId="6DDAB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shd w:val="clear" w:color="auto" w:fill="auto"/>
            <w:vAlign w:val="center"/>
          </w:tcPr>
          <w:p w14:paraId="5352B409">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5</w:t>
            </w:r>
          </w:p>
        </w:tc>
        <w:tc>
          <w:tcPr>
            <w:tcW w:w="1305" w:type="dxa"/>
            <w:shd w:val="clear" w:color="auto" w:fill="auto"/>
            <w:vAlign w:val="center"/>
          </w:tcPr>
          <w:p w14:paraId="1726EF98">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定制柜（长柜）</w:t>
            </w:r>
          </w:p>
        </w:tc>
        <w:tc>
          <w:tcPr>
            <w:tcW w:w="1994" w:type="dxa"/>
            <w:shd w:val="clear" w:color="auto" w:fill="auto"/>
            <w:vAlign w:val="center"/>
          </w:tcPr>
          <w:p w14:paraId="0057BF53">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4.5*0.8M=4.14㎡</w:t>
            </w:r>
          </w:p>
        </w:tc>
        <w:tc>
          <w:tcPr>
            <w:tcW w:w="0" w:type="auto"/>
            <w:shd w:val="clear" w:color="auto" w:fill="auto"/>
            <w:vAlign w:val="center"/>
          </w:tcPr>
          <w:p w14:paraId="4B2305F8">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个</w:t>
            </w:r>
          </w:p>
        </w:tc>
        <w:tc>
          <w:tcPr>
            <w:tcW w:w="0" w:type="auto"/>
            <w:shd w:val="clear" w:color="auto" w:fill="auto"/>
            <w:vAlign w:val="center"/>
          </w:tcPr>
          <w:p w14:paraId="42CB2764">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1</w:t>
            </w:r>
          </w:p>
        </w:tc>
        <w:tc>
          <w:tcPr>
            <w:tcW w:w="2223" w:type="dxa"/>
            <w:vMerge w:val="continue"/>
            <w:shd w:val="clear" w:color="auto" w:fill="auto"/>
            <w:vAlign w:val="center"/>
          </w:tcPr>
          <w:p w14:paraId="0BCF14E6">
            <w:pPr>
              <w:jc w:val="center"/>
              <w:outlineLvl w:val="9"/>
              <w:rPr>
                <w:rFonts w:hint="eastAsia" w:ascii="宋体" w:hAnsi="宋体" w:eastAsia="宋体" w:cs="宋体"/>
                <w:szCs w:val="21"/>
              </w:rPr>
            </w:pPr>
          </w:p>
        </w:tc>
        <w:tc>
          <w:tcPr>
            <w:tcW w:w="5988" w:type="dxa"/>
            <w:vMerge w:val="continue"/>
            <w:shd w:val="clear" w:color="auto" w:fill="auto"/>
            <w:vAlign w:val="center"/>
          </w:tcPr>
          <w:p w14:paraId="78058926">
            <w:pPr>
              <w:jc w:val="left"/>
              <w:outlineLvl w:val="9"/>
              <w:rPr>
                <w:rFonts w:hint="eastAsia" w:ascii="宋体" w:hAnsi="宋体" w:eastAsia="宋体" w:cs="宋体"/>
                <w:szCs w:val="21"/>
              </w:rPr>
            </w:pPr>
          </w:p>
        </w:tc>
        <w:tc>
          <w:tcPr>
            <w:tcW w:w="0" w:type="auto"/>
            <w:shd w:val="clear" w:color="auto" w:fill="auto"/>
            <w:vAlign w:val="center"/>
          </w:tcPr>
          <w:p w14:paraId="0048950D">
            <w:pPr>
              <w:keepNext w:val="0"/>
              <w:keepLines w:val="0"/>
              <w:widowControl/>
              <w:suppressLineNumbers w:val="0"/>
              <w:jc w:val="left"/>
              <w:textAlignment w:val="center"/>
              <w:outlineLvl w:val="9"/>
              <w:rPr>
                <w:rFonts w:hint="eastAsia" w:ascii="宋体" w:hAnsi="宋体" w:eastAsia="宋体" w:cs="宋体"/>
                <w:sz w:val="11"/>
                <w:szCs w:val="11"/>
              </w:rPr>
            </w:pPr>
            <w:r>
              <w:rPr>
                <w:rFonts w:hint="eastAsia" w:ascii="宋体" w:hAnsi="宋体" w:eastAsia="宋体" w:cs="宋体"/>
                <w:i w:val="0"/>
                <w:iCs w:val="0"/>
                <w:color w:val="000000"/>
                <w:kern w:val="0"/>
                <w:sz w:val="13"/>
                <w:szCs w:val="13"/>
                <w:u w:val="none"/>
                <w:lang w:val="en-US" w:eastAsia="zh-CN" w:bidi="ar"/>
              </w:rPr>
              <w:t>可依据实际情况拆分</w:t>
            </w:r>
          </w:p>
        </w:tc>
      </w:tr>
      <w:tr w14:paraId="73B5F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shd w:val="clear" w:color="auto" w:fill="auto"/>
            <w:vAlign w:val="center"/>
          </w:tcPr>
          <w:p w14:paraId="44EA399F">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6</w:t>
            </w:r>
          </w:p>
        </w:tc>
        <w:tc>
          <w:tcPr>
            <w:tcW w:w="1305" w:type="dxa"/>
            <w:shd w:val="clear" w:color="auto" w:fill="auto"/>
            <w:vAlign w:val="center"/>
          </w:tcPr>
          <w:p w14:paraId="4D36AABE">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定制柜（长柜）</w:t>
            </w:r>
          </w:p>
        </w:tc>
        <w:tc>
          <w:tcPr>
            <w:tcW w:w="1994" w:type="dxa"/>
            <w:shd w:val="clear" w:color="auto" w:fill="auto"/>
            <w:vAlign w:val="center"/>
          </w:tcPr>
          <w:p w14:paraId="32663E41">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4.45*0.8M=3.56㎡</w:t>
            </w:r>
          </w:p>
        </w:tc>
        <w:tc>
          <w:tcPr>
            <w:tcW w:w="0" w:type="auto"/>
            <w:shd w:val="clear" w:color="auto" w:fill="auto"/>
            <w:vAlign w:val="center"/>
          </w:tcPr>
          <w:p w14:paraId="4E36D7B5">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个</w:t>
            </w:r>
          </w:p>
        </w:tc>
        <w:tc>
          <w:tcPr>
            <w:tcW w:w="0" w:type="auto"/>
            <w:shd w:val="clear" w:color="auto" w:fill="auto"/>
            <w:vAlign w:val="center"/>
          </w:tcPr>
          <w:p w14:paraId="4515FC2F">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1</w:t>
            </w:r>
          </w:p>
        </w:tc>
        <w:tc>
          <w:tcPr>
            <w:tcW w:w="2223" w:type="dxa"/>
            <w:vMerge w:val="continue"/>
            <w:shd w:val="clear" w:color="auto" w:fill="auto"/>
            <w:vAlign w:val="center"/>
          </w:tcPr>
          <w:p w14:paraId="4683E74B">
            <w:pPr>
              <w:jc w:val="center"/>
              <w:outlineLvl w:val="9"/>
              <w:rPr>
                <w:rFonts w:hint="eastAsia" w:ascii="宋体" w:hAnsi="宋体" w:eastAsia="宋体" w:cs="宋体"/>
                <w:szCs w:val="21"/>
              </w:rPr>
            </w:pPr>
          </w:p>
        </w:tc>
        <w:tc>
          <w:tcPr>
            <w:tcW w:w="5988" w:type="dxa"/>
            <w:vMerge w:val="continue"/>
            <w:shd w:val="clear" w:color="auto" w:fill="auto"/>
            <w:vAlign w:val="center"/>
          </w:tcPr>
          <w:p w14:paraId="7FC5C9BD">
            <w:pPr>
              <w:jc w:val="left"/>
              <w:outlineLvl w:val="9"/>
              <w:rPr>
                <w:rFonts w:hint="eastAsia" w:ascii="宋体" w:hAnsi="宋体" w:eastAsia="宋体" w:cs="宋体"/>
                <w:szCs w:val="21"/>
              </w:rPr>
            </w:pPr>
          </w:p>
        </w:tc>
        <w:tc>
          <w:tcPr>
            <w:tcW w:w="0" w:type="auto"/>
            <w:shd w:val="clear" w:color="auto" w:fill="auto"/>
            <w:vAlign w:val="center"/>
          </w:tcPr>
          <w:p w14:paraId="68A02AE0">
            <w:pPr>
              <w:keepNext w:val="0"/>
              <w:keepLines w:val="0"/>
              <w:widowControl/>
              <w:suppressLineNumbers w:val="0"/>
              <w:jc w:val="left"/>
              <w:textAlignment w:val="center"/>
              <w:outlineLvl w:val="9"/>
              <w:rPr>
                <w:rFonts w:hint="eastAsia" w:ascii="宋体" w:hAnsi="宋体" w:eastAsia="宋体" w:cs="宋体"/>
                <w:sz w:val="11"/>
                <w:szCs w:val="11"/>
              </w:rPr>
            </w:pPr>
            <w:r>
              <w:rPr>
                <w:rFonts w:hint="eastAsia" w:ascii="宋体" w:hAnsi="宋体" w:eastAsia="宋体" w:cs="宋体"/>
                <w:i w:val="0"/>
                <w:iCs w:val="0"/>
                <w:color w:val="000000"/>
                <w:kern w:val="0"/>
                <w:sz w:val="13"/>
                <w:szCs w:val="13"/>
                <w:u w:val="none"/>
                <w:lang w:val="en-US" w:eastAsia="zh-CN" w:bidi="ar"/>
              </w:rPr>
              <w:t>可依据实际情况拆分</w:t>
            </w:r>
          </w:p>
        </w:tc>
      </w:tr>
      <w:tr w14:paraId="0E1E4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0" w:type="auto"/>
            <w:shd w:val="clear" w:color="auto" w:fill="auto"/>
            <w:vAlign w:val="center"/>
          </w:tcPr>
          <w:p w14:paraId="47723E2D">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7</w:t>
            </w:r>
          </w:p>
        </w:tc>
        <w:tc>
          <w:tcPr>
            <w:tcW w:w="1305" w:type="dxa"/>
            <w:shd w:val="clear" w:color="auto" w:fill="auto"/>
            <w:vAlign w:val="center"/>
          </w:tcPr>
          <w:p w14:paraId="451B4448">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定制背景墙</w:t>
            </w:r>
          </w:p>
        </w:tc>
        <w:tc>
          <w:tcPr>
            <w:tcW w:w="1994" w:type="dxa"/>
            <w:shd w:val="clear" w:color="auto" w:fill="auto"/>
            <w:vAlign w:val="center"/>
          </w:tcPr>
          <w:p w14:paraId="7ED95093">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5.28*2.72M=14.262㎡</w:t>
            </w:r>
          </w:p>
        </w:tc>
        <w:tc>
          <w:tcPr>
            <w:tcW w:w="0" w:type="auto"/>
            <w:shd w:val="clear" w:color="auto" w:fill="auto"/>
            <w:noWrap/>
            <w:vAlign w:val="center"/>
          </w:tcPr>
          <w:p w14:paraId="330444E2">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面</w:t>
            </w:r>
          </w:p>
        </w:tc>
        <w:tc>
          <w:tcPr>
            <w:tcW w:w="0" w:type="auto"/>
            <w:shd w:val="clear" w:color="auto" w:fill="auto"/>
            <w:vAlign w:val="center"/>
          </w:tcPr>
          <w:p w14:paraId="164DAE56">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1</w:t>
            </w:r>
          </w:p>
        </w:tc>
        <w:tc>
          <w:tcPr>
            <w:tcW w:w="2223" w:type="dxa"/>
            <w:shd w:val="clear" w:color="auto" w:fill="auto"/>
            <w:vAlign w:val="center"/>
          </w:tcPr>
          <w:p w14:paraId="1E94E635">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-67310</wp:posOffset>
                  </wp:positionH>
                  <wp:positionV relativeFrom="paragraph">
                    <wp:posOffset>62865</wp:posOffset>
                  </wp:positionV>
                  <wp:extent cx="1295400" cy="731520"/>
                  <wp:effectExtent l="0" t="0" r="0" b="11430"/>
                  <wp:wrapNone/>
                  <wp:docPr id="190" name="ID_5B926269B6F24AAE9E2E36E00B493B13"/>
                  <wp:cNvGraphicFramePr/>
                  <a:graphic xmlns:a="http://schemas.openxmlformats.org/drawingml/2006/main">
                    <a:graphicData uri="http://schemas.openxmlformats.org/drawingml/2006/picture">
                      <pic:pic xmlns:pic="http://schemas.openxmlformats.org/drawingml/2006/picture">
                        <pic:nvPicPr>
                          <pic:cNvPr id="190" name="ID_5B926269B6F24AAE9E2E36E00B493B13"/>
                          <pic:cNvPicPr/>
                        </pic:nvPicPr>
                        <pic:blipFill>
                          <a:blip r:embed="rId11"/>
                          <a:stretch>
                            <a:fillRect/>
                          </a:stretch>
                        </pic:blipFill>
                        <pic:spPr>
                          <a:xfrm>
                            <a:off x="0" y="0"/>
                            <a:ext cx="1295400" cy="731520"/>
                          </a:xfrm>
                          <a:prstGeom prst="rect">
                            <a:avLst/>
                          </a:prstGeom>
                          <a:noFill/>
                          <a:ln>
                            <a:noFill/>
                          </a:ln>
                        </pic:spPr>
                      </pic:pic>
                    </a:graphicData>
                  </a:graphic>
                </wp:anchor>
              </w:drawing>
            </w:r>
          </w:p>
        </w:tc>
        <w:tc>
          <w:tcPr>
            <w:tcW w:w="5988" w:type="dxa"/>
            <w:shd w:val="clear" w:color="auto" w:fill="auto"/>
            <w:vAlign w:val="center"/>
          </w:tcPr>
          <w:p w14:paraId="7FD4089D">
            <w:pPr>
              <w:keepNext w:val="0"/>
              <w:keepLines w:val="0"/>
              <w:widowControl/>
              <w:suppressLineNumbers w:val="0"/>
              <w:jc w:val="left"/>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1、采用E0级多层实木板，背板用9MM，层板18MM（颜色由成交供应商提供色板给采购人确定）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2、符合国家《室内装饰装修材料人造板及其制品中甲醛释放限量》(GB18580-2017)，及《人造板及其制品甲醛释放量分级》(GB/T 39600-2021)的相关标准</w:t>
            </w:r>
          </w:p>
        </w:tc>
        <w:tc>
          <w:tcPr>
            <w:tcW w:w="0" w:type="auto"/>
            <w:shd w:val="clear" w:color="auto" w:fill="auto"/>
            <w:vAlign w:val="center"/>
          </w:tcPr>
          <w:p w14:paraId="1D956C46">
            <w:pPr>
              <w:jc w:val="center"/>
              <w:outlineLvl w:val="9"/>
              <w:rPr>
                <w:rFonts w:hint="eastAsia" w:ascii="宋体" w:hAnsi="宋体" w:eastAsia="宋体" w:cs="宋体"/>
                <w:i w:val="0"/>
                <w:iCs w:val="0"/>
                <w:color w:val="000000"/>
                <w:kern w:val="0"/>
                <w:sz w:val="8"/>
                <w:szCs w:val="8"/>
                <w:u w:val="none"/>
                <w:lang w:val="en-US" w:eastAsia="zh-CN" w:bidi="ar"/>
              </w:rPr>
            </w:pPr>
          </w:p>
        </w:tc>
      </w:tr>
      <w:tr w14:paraId="4BDF4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jc w:val="center"/>
        </w:trPr>
        <w:tc>
          <w:tcPr>
            <w:tcW w:w="0" w:type="auto"/>
            <w:shd w:val="clear" w:color="auto" w:fill="auto"/>
            <w:vAlign w:val="center"/>
          </w:tcPr>
          <w:p w14:paraId="77E46EB4">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8</w:t>
            </w:r>
          </w:p>
        </w:tc>
        <w:tc>
          <w:tcPr>
            <w:tcW w:w="1305" w:type="dxa"/>
            <w:shd w:val="clear" w:color="auto" w:fill="auto"/>
            <w:vAlign w:val="center"/>
          </w:tcPr>
          <w:p w14:paraId="59B5853D">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人造石英石台面</w:t>
            </w:r>
          </w:p>
        </w:tc>
        <w:tc>
          <w:tcPr>
            <w:tcW w:w="1994" w:type="dxa"/>
            <w:shd w:val="clear" w:color="auto" w:fill="auto"/>
            <w:vAlign w:val="center"/>
          </w:tcPr>
          <w:p w14:paraId="0194CC85">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0.6m*4.45m=2.67㎡</w:t>
            </w:r>
          </w:p>
        </w:tc>
        <w:tc>
          <w:tcPr>
            <w:tcW w:w="0" w:type="auto"/>
            <w:shd w:val="clear" w:color="auto" w:fill="auto"/>
            <w:noWrap/>
            <w:vAlign w:val="center"/>
          </w:tcPr>
          <w:p w14:paraId="56B80475">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张</w:t>
            </w:r>
          </w:p>
        </w:tc>
        <w:tc>
          <w:tcPr>
            <w:tcW w:w="0" w:type="auto"/>
            <w:shd w:val="clear" w:color="auto" w:fill="auto"/>
            <w:vAlign w:val="center"/>
          </w:tcPr>
          <w:p w14:paraId="67CBBE22">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1</w:t>
            </w:r>
          </w:p>
        </w:tc>
        <w:tc>
          <w:tcPr>
            <w:tcW w:w="2223" w:type="dxa"/>
            <w:shd w:val="clear" w:color="auto" w:fill="auto"/>
            <w:vAlign w:val="center"/>
          </w:tcPr>
          <w:p w14:paraId="49EDC86E">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76672" behindDoc="0" locked="0" layoutInCell="1" allowOverlap="1">
                  <wp:simplePos x="0" y="0"/>
                  <wp:positionH relativeFrom="column">
                    <wp:posOffset>154305</wp:posOffset>
                  </wp:positionH>
                  <wp:positionV relativeFrom="paragraph">
                    <wp:posOffset>21590</wp:posOffset>
                  </wp:positionV>
                  <wp:extent cx="1085850" cy="751205"/>
                  <wp:effectExtent l="0" t="0" r="0" b="10795"/>
                  <wp:wrapNone/>
                  <wp:docPr id="191" name="ID_A7CEB65B6AE24ADFA082F5D077C219DE"/>
                  <wp:cNvGraphicFramePr/>
                  <a:graphic xmlns:a="http://schemas.openxmlformats.org/drawingml/2006/main">
                    <a:graphicData uri="http://schemas.openxmlformats.org/drawingml/2006/picture">
                      <pic:pic xmlns:pic="http://schemas.openxmlformats.org/drawingml/2006/picture">
                        <pic:nvPicPr>
                          <pic:cNvPr id="191" name="ID_A7CEB65B6AE24ADFA082F5D077C219DE"/>
                          <pic:cNvPicPr/>
                        </pic:nvPicPr>
                        <pic:blipFill>
                          <a:blip r:embed="rId12"/>
                          <a:stretch>
                            <a:fillRect/>
                          </a:stretch>
                        </pic:blipFill>
                        <pic:spPr>
                          <a:xfrm>
                            <a:off x="0" y="0"/>
                            <a:ext cx="1085850" cy="751205"/>
                          </a:xfrm>
                          <a:prstGeom prst="rect">
                            <a:avLst/>
                          </a:prstGeom>
                          <a:noFill/>
                          <a:ln>
                            <a:noFill/>
                          </a:ln>
                        </pic:spPr>
                      </pic:pic>
                    </a:graphicData>
                  </a:graphic>
                </wp:anchor>
              </w:drawing>
            </w:r>
          </w:p>
        </w:tc>
        <w:tc>
          <w:tcPr>
            <w:tcW w:w="5988" w:type="dxa"/>
            <w:shd w:val="clear" w:color="auto" w:fill="auto"/>
            <w:vAlign w:val="center"/>
          </w:tcPr>
          <w:p w14:paraId="06A468F8">
            <w:pPr>
              <w:keepNext w:val="0"/>
              <w:keepLines w:val="0"/>
              <w:widowControl/>
              <w:suppressLineNumbers w:val="0"/>
              <w:jc w:val="left"/>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采用抗渗透、耐刮花、硬度强的人造大理石，厚度不低于15mm，颜色简洁大方（需提供样板确认），环保健康；含走线打孔，边角打磨等。</w:t>
            </w:r>
          </w:p>
        </w:tc>
        <w:tc>
          <w:tcPr>
            <w:tcW w:w="0" w:type="auto"/>
            <w:shd w:val="clear" w:color="auto" w:fill="auto"/>
            <w:vAlign w:val="center"/>
          </w:tcPr>
          <w:p w14:paraId="37E981DD">
            <w:pPr>
              <w:jc w:val="center"/>
              <w:outlineLvl w:val="9"/>
              <w:rPr>
                <w:rFonts w:hint="eastAsia" w:ascii="宋体" w:hAnsi="宋体" w:eastAsia="宋体" w:cs="宋体"/>
                <w:i w:val="0"/>
                <w:iCs w:val="0"/>
                <w:color w:val="000000"/>
                <w:kern w:val="0"/>
                <w:sz w:val="8"/>
                <w:szCs w:val="8"/>
                <w:u w:val="none"/>
                <w:lang w:val="en-US" w:eastAsia="zh-CN" w:bidi="ar"/>
              </w:rPr>
            </w:pPr>
          </w:p>
        </w:tc>
      </w:tr>
      <w:tr w14:paraId="14751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0" w:type="auto"/>
            <w:shd w:val="clear" w:color="auto" w:fill="auto"/>
            <w:vAlign w:val="center"/>
          </w:tcPr>
          <w:p w14:paraId="2385DCE8">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9</w:t>
            </w:r>
          </w:p>
        </w:tc>
        <w:tc>
          <w:tcPr>
            <w:tcW w:w="1305" w:type="dxa"/>
            <w:shd w:val="clear" w:color="auto" w:fill="auto"/>
            <w:vAlign w:val="center"/>
          </w:tcPr>
          <w:p w14:paraId="2D2EBBB1">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人造石英石台面</w:t>
            </w:r>
          </w:p>
        </w:tc>
        <w:tc>
          <w:tcPr>
            <w:tcW w:w="1994" w:type="dxa"/>
            <w:shd w:val="clear" w:color="auto" w:fill="auto"/>
            <w:vAlign w:val="center"/>
          </w:tcPr>
          <w:p w14:paraId="34B16E38">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0.5m*4.5m=2.25㎡</w:t>
            </w:r>
          </w:p>
        </w:tc>
        <w:tc>
          <w:tcPr>
            <w:tcW w:w="0" w:type="auto"/>
            <w:shd w:val="clear" w:color="auto" w:fill="auto"/>
            <w:vAlign w:val="center"/>
          </w:tcPr>
          <w:p w14:paraId="2D3428FF">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张</w:t>
            </w:r>
          </w:p>
        </w:tc>
        <w:tc>
          <w:tcPr>
            <w:tcW w:w="0" w:type="auto"/>
            <w:shd w:val="clear" w:color="auto" w:fill="auto"/>
            <w:vAlign w:val="center"/>
          </w:tcPr>
          <w:p w14:paraId="590DE34D">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1</w:t>
            </w:r>
          </w:p>
        </w:tc>
        <w:tc>
          <w:tcPr>
            <w:tcW w:w="2223" w:type="dxa"/>
            <w:shd w:val="clear" w:color="auto" w:fill="auto"/>
            <w:vAlign w:val="center"/>
          </w:tcPr>
          <w:p w14:paraId="2C5EC6A8">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90805</wp:posOffset>
                  </wp:positionH>
                  <wp:positionV relativeFrom="paragraph">
                    <wp:posOffset>-20955</wp:posOffset>
                  </wp:positionV>
                  <wp:extent cx="1085850" cy="751205"/>
                  <wp:effectExtent l="0" t="0" r="0" b="10795"/>
                  <wp:wrapNone/>
                  <wp:docPr id="192" name="ID_A7CEB65B6AE24ADFA082F5D077C219DE_SpCnt_1"/>
                  <wp:cNvGraphicFramePr/>
                  <a:graphic xmlns:a="http://schemas.openxmlformats.org/drawingml/2006/main">
                    <a:graphicData uri="http://schemas.openxmlformats.org/drawingml/2006/picture">
                      <pic:pic xmlns:pic="http://schemas.openxmlformats.org/drawingml/2006/picture">
                        <pic:nvPicPr>
                          <pic:cNvPr id="192" name="ID_A7CEB65B6AE24ADFA082F5D077C219DE_SpCnt_1"/>
                          <pic:cNvPicPr/>
                        </pic:nvPicPr>
                        <pic:blipFill>
                          <a:blip r:embed="rId12"/>
                          <a:stretch>
                            <a:fillRect/>
                          </a:stretch>
                        </pic:blipFill>
                        <pic:spPr>
                          <a:xfrm>
                            <a:off x="0" y="0"/>
                            <a:ext cx="1085850" cy="751205"/>
                          </a:xfrm>
                          <a:prstGeom prst="rect">
                            <a:avLst/>
                          </a:prstGeom>
                          <a:noFill/>
                          <a:ln>
                            <a:noFill/>
                          </a:ln>
                        </pic:spPr>
                      </pic:pic>
                    </a:graphicData>
                  </a:graphic>
                </wp:anchor>
              </w:drawing>
            </w:r>
          </w:p>
        </w:tc>
        <w:tc>
          <w:tcPr>
            <w:tcW w:w="5988" w:type="dxa"/>
            <w:shd w:val="clear" w:color="auto" w:fill="auto"/>
            <w:vAlign w:val="center"/>
          </w:tcPr>
          <w:p w14:paraId="532CF405">
            <w:pPr>
              <w:keepNext w:val="0"/>
              <w:keepLines w:val="0"/>
              <w:widowControl/>
              <w:suppressLineNumbers w:val="0"/>
              <w:jc w:val="left"/>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采用抗渗透、耐刮花、硬度强的人造大理石，厚度不低于15mm，颜色简洁大方（需提供样板确认），环保健康；含走线打孔，边角打磨等。</w:t>
            </w:r>
          </w:p>
        </w:tc>
        <w:tc>
          <w:tcPr>
            <w:tcW w:w="0" w:type="auto"/>
            <w:shd w:val="clear" w:color="auto" w:fill="auto"/>
            <w:vAlign w:val="center"/>
          </w:tcPr>
          <w:p w14:paraId="68494AD9">
            <w:pPr>
              <w:jc w:val="center"/>
              <w:outlineLvl w:val="9"/>
              <w:rPr>
                <w:rFonts w:hint="eastAsia" w:ascii="宋体" w:hAnsi="宋体" w:eastAsia="宋体" w:cs="宋体"/>
                <w:i w:val="0"/>
                <w:iCs w:val="0"/>
                <w:color w:val="000000"/>
                <w:kern w:val="0"/>
                <w:sz w:val="8"/>
                <w:szCs w:val="8"/>
                <w:u w:val="none"/>
                <w:lang w:val="en-US" w:eastAsia="zh-CN" w:bidi="ar"/>
              </w:rPr>
            </w:pPr>
          </w:p>
        </w:tc>
      </w:tr>
      <w:tr w14:paraId="7565A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1" w:hRule="atLeast"/>
          <w:jc w:val="center"/>
        </w:trPr>
        <w:tc>
          <w:tcPr>
            <w:tcW w:w="0" w:type="auto"/>
            <w:shd w:val="clear" w:color="auto" w:fill="auto"/>
            <w:vAlign w:val="center"/>
          </w:tcPr>
          <w:p w14:paraId="00D1A2C0">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10</w:t>
            </w:r>
          </w:p>
        </w:tc>
        <w:tc>
          <w:tcPr>
            <w:tcW w:w="1305" w:type="dxa"/>
            <w:shd w:val="clear" w:color="auto" w:fill="auto"/>
            <w:vAlign w:val="center"/>
          </w:tcPr>
          <w:p w14:paraId="167FF3D4">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办公沙发五件套</w:t>
            </w:r>
          </w:p>
        </w:tc>
        <w:tc>
          <w:tcPr>
            <w:tcW w:w="1994" w:type="dxa"/>
            <w:shd w:val="clear" w:color="auto" w:fill="auto"/>
            <w:vAlign w:val="center"/>
          </w:tcPr>
          <w:p w14:paraId="4DD12E34">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三位：2060*850*890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单位：1060*850*890*2个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长几:1500*750*500        方几：750*750*500</w:t>
            </w:r>
          </w:p>
        </w:tc>
        <w:tc>
          <w:tcPr>
            <w:tcW w:w="0" w:type="auto"/>
            <w:shd w:val="clear" w:color="auto" w:fill="auto"/>
            <w:vAlign w:val="center"/>
          </w:tcPr>
          <w:p w14:paraId="7231BB84">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套</w:t>
            </w:r>
          </w:p>
        </w:tc>
        <w:tc>
          <w:tcPr>
            <w:tcW w:w="0" w:type="auto"/>
            <w:shd w:val="clear" w:color="auto" w:fill="auto"/>
            <w:vAlign w:val="center"/>
          </w:tcPr>
          <w:p w14:paraId="2E04DC65">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1</w:t>
            </w:r>
          </w:p>
        </w:tc>
        <w:tc>
          <w:tcPr>
            <w:tcW w:w="2223" w:type="dxa"/>
            <w:shd w:val="clear" w:color="auto" w:fill="auto"/>
            <w:vAlign w:val="center"/>
          </w:tcPr>
          <w:p w14:paraId="1AADF51B">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78720" behindDoc="0" locked="0" layoutInCell="1" allowOverlap="1">
                  <wp:simplePos x="0" y="0"/>
                  <wp:positionH relativeFrom="column">
                    <wp:posOffset>-20320</wp:posOffset>
                  </wp:positionH>
                  <wp:positionV relativeFrom="paragraph">
                    <wp:posOffset>-285115</wp:posOffset>
                  </wp:positionV>
                  <wp:extent cx="1140460" cy="647065"/>
                  <wp:effectExtent l="0" t="0" r="2540" b="635"/>
                  <wp:wrapNone/>
                  <wp:docPr id="193" name="ID_A42F64CF9FDA4BB59BF8C803BF7BF3C6"/>
                  <wp:cNvGraphicFramePr/>
                  <a:graphic xmlns:a="http://schemas.openxmlformats.org/drawingml/2006/main">
                    <a:graphicData uri="http://schemas.openxmlformats.org/drawingml/2006/picture">
                      <pic:pic xmlns:pic="http://schemas.openxmlformats.org/drawingml/2006/picture">
                        <pic:nvPicPr>
                          <pic:cNvPr id="193" name="ID_A42F64CF9FDA4BB59BF8C803BF7BF3C6"/>
                          <pic:cNvPicPr/>
                        </pic:nvPicPr>
                        <pic:blipFill>
                          <a:blip r:embed="rId13"/>
                          <a:stretch>
                            <a:fillRect/>
                          </a:stretch>
                        </pic:blipFill>
                        <pic:spPr>
                          <a:xfrm>
                            <a:off x="0" y="0"/>
                            <a:ext cx="1140460" cy="647065"/>
                          </a:xfrm>
                          <a:prstGeom prst="rect">
                            <a:avLst/>
                          </a:prstGeom>
                          <a:noFill/>
                          <a:ln>
                            <a:noFill/>
                          </a:ln>
                        </pic:spPr>
                      </pic:pic>
                    </a:graphicData>
                  </a:graphic>
                </wp:anchor>
              </w:drawing>
            </w:r>
          </w:p>
        </w:tc>
        <w:tc>
          <w:tcPr>
            <w:tcW w:w="5988" w:type="dxa"/>
            <w:shd w:val="clear" w:color="auto" w:fill="auto"/>
            <w:vAlign w:val="center"/>
          </w:tcPr>
          <w:p w14:paraId="3AD6AF43">
            <w:pPr>
              <w:keepNext w:val="0"/>
              <w:keepLines w:val="0"/>
              <w:widowControl/>
              <w:suppressLineNumbers w:val="0"/>
              <w:jc w:val="left"/>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1.材质：沙发座面、靠背、扶手均采用头层牛皮，皮面柔软亲肤性好，经防污处理，清洁方便，厚度1.5mm； （沙发颜色提供色板选择）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2.填充海绵：采用一次成型优质东亚牌环保高弹45#高密度海棉，质保十年不变形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3.沙发框架：采用落叶松，符合国家木工通用技术标准，含水率低于10%的硬木木方及EO级15mm多层实木板；弹簧：采用高锰钢蛇形网弹簧，强力织带橡筋。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茶几，边几其他要求：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贴面材料采用优质严选胡桃木实木皮饰面；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封边用材采用优质实木木材；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基材采用优质高密度纤维板，优质绿色环保产品,符合国家E1级标准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油漆采用华润或同等品牌优质优漆，符合国家E1级环保要求；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五金配件采用优质五金配件、连接件；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必须符合GB/T3324-2017《木家具通用技术条件》</w:t>
            </w:r>
          </w:p>
        </w:tc>
        <w:tc>
          <w:tcPr>
            <w:tcW w:w="0" w:type="auto"/>
            <w:shd w:val="clear" w:color="auto" w:fill="auto"/>
            <w:vAlign w:val="center"/>
          </w:tcPr>
          <w:p w14:paraId="5FF83C53">
            <w:pPr>
              <w:jc w:val="center"/>
              <w:outlineLvl w:val="9"/>
              <w:rPr>
                <w:rFonts w:hint="eastAsia" w:ascii="宋体" w:hAnsi="宋体" w:eastAsia="宋体" w:cs="宋体"/>
                <w:i w:val="0"/>
                <w:iCs w:val="0"/>
                <w:color w:val="000000"/>
                <w:kern w:val="0"/>
                <w:sz w:val="8"/>
                <w:szCs w:val="8"/>
                <w:u w:val="none"/>
                <w:lang w:val="en-US" w:eastAsia="zh-CN" w:bidi="ar"/>
              </w:rPr>
            </w:pPr>
          </w:p>
        </w:tc>
      </w:tr>
      <w:tr w14:paraId="4CC10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jc w:val="center"/>
        </w:trPr>
        <w:tc>
          <w:tcPr>
            <w:tcW w:w="0" w:type="auto"/>
            <w:shd w:val="clear" w:color="auto" w:fill="auto"/>
            <w:vAlign w:val="center"/>
          </w:tcPr>
          <w:p w14:paraId="169F61DF">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11</w:t>
            </w:r>
          </w:p>
        </w:tc>
        <w:tc>
          <w:tcPr>
            <w:tcW w:w="1305" w:type="dxa"/>
            <w:shd w:val="clear" w:color="auto" w:fill="auto"/>
            <w:vAlign w:val="center"/>
          </w:tcPr>
          <w:p w14:paraId="031A1B54">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茶水柜</w:t>
            </w:r>
          </w:p>
        </w:tc>
        <w:tc>
          <w:tcPr>
            <w:tcW w:w="1994" w:type="dxa"/>
            <w:shd w:val="clear" w:color="auto" w:fill="auto"/>
            <w:vAlign w:val="center"/>
          </w:tcPr>
          <w:p w14:paraId="4193E561">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1200*400*850mm</w:t>
            </w:r>
          </w:p>
        </w:tc>
        <w:tc>
          <w:tcPr>
            <w:tcW w:w="0" w:type="auto"/>
            <w:shd w:val="clear" w:color="auto" w:fill="auto"/>
            <w:vAlign w:val="center"/>
          </w:tcPr>
          <w:p w14:paraId="0CD0425D">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个</w:t>
            </w:r>
          </w:p>
        </w:tc>
        <w:tc>
          <w:tcPr>
            <w:tcW w:w="0" w:type="auto"/>
            <w:shd w:val="clear" w:color="auto" w:fill="auto"/>
            <w:vAlign w:val="center"/>
          </w:tcPr>
          <w:p w14:paraId="11397941">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2</w:t>
            </w:r>
          </w:p>
        </w:tc>
        <w:tc>
          <w:tcPr>
            <w:tcW w:w="2223" w:type="dxa"/>
            <w:shd w:val="clear" w:color="auto" w:fill="auto"/>
            <w:vAlign w:val="center"/>
          </w:tcPr>
          <w:p w14:paraId="18B0A2DF">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50800</wp:posOffset>
                  </wp:positionH>
                  <wp:positionV relativeFrom="paragraph">
                    <wp:posOffset>19685</wp:posOffset>
                  </wp:positionV>
                  <wp:extent cx="1018540" cy="878205"/>
                  <wp:effectExtent l="0" t="0" r="10160" b="17145"/>
                  <wp:wrapNone/>
                  <wp:docPr id="194" name="ID_BC1B08918E1A4DF5B563E3F10E5D841E"/>
                  <wp:cNvGraphicFramePr/>
                  <a:graphic xmlns:a="http://schemas.openxmlformats.org/drawingml/2006/main">
                    <a:graphicData uri="http://schemas.openxmlformats.org/drawingml/2006/picture">
                      <pic:pic xmlns:pic="http://schemas.openxmlformats.org/drawingml/2006/picture">
                        <pic:nvPicPr>
                          <pic:cNvPr id="194" name="ID_BC1B08918E1A4DF5B563E3F10E5D841E"/>
                          <pic:cNvPicPr/>
                        </pic:nvPicPr>
                        <pic:blipFill>
                          <a:blip r:embed="rId14"/>
                          <a:stretch>
                            <a:fillRect/>
                          </a:stretch>
                        </pic:blipFill>
                        <pic:spPr>
                          <a:xfrm>
                            <a:off x="0" y="0"/>
                            <a:ext cx="1018540" cy="878205"/>
                          </a:xfrm>
                          <a:prstGeom prst="rect">
                            <a:avLst/>
                          </a:prstGeom>
                          <a:noFill/>
                          <a:ln>
                            <a:noFill/>
                          </a:ln>
                        </pic:spPr>
                      </pic:pic>
                    </a:graphicData>
                  </a:graphic>
                </wp:anchor>
              </w:drawing>
            </w:r>
          </w:p>
        </w:tc>
        <w:tc>
          <w:tcPr>
            <w:tcW w:w="5988" w:type="dxa"/>
            <w:shd w:val="clear" w:color="auto" w:fill="auto"/>
            <w:vAlign w:val="center"/>
          </w:tcPr>
          <w:p w14:paraId="4B309820">
            <w:pPr>
              <w:keepNext w:val="0"/>
              <w:keepLines w:val="0"/>
              <w:widowControl/>
              <w:suppressLineNumbers w:val="0"/>
              <w:jc w:val="left"/>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1.主材全橡木实木，颜色胡桃色，材质稳定，防腐防虫，采用高品质净味环保油漆；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钢化玻璃门，优质五金门铰，内置层板。EO级优质环保板材，胡桃木木皮贴面，木皮厚度≥0.6mm，环保油漆喷涂，优质五金件，静音缓冲五金门铰，精心打磨边角，符合国家《室内装饰装修材料人造板及其制品中甲醛释放限量》(GB18580-2017)，及《人造板及其制品甲醛释放量分级》(GB/T 39600-2021)的相关标准</w:t>
            </w:r>
          </w:p>
        </w:tc>
        <w:tc>
          <w:tcPr>
            <w:tcW w:w="0" w:type="auto"/>
            <w:shd w:val="clear" w:color="auto" w:fill="auto"/>
            <w:vAlign w:val="center"/>
          </w:tcPr>
          <w:p w14:paraId="6FC53D7B">
            <w:pPr>
              <w:keepNext w:val="0"/>
              <w:keepLines w:val="0"/>
              <w:widowControl/>
              <w:suppressLineNumbers w:val="0"/>
              <w:jc w:val="center"/>
              <w:textAlignment w:val="center"/>
              <w:outlineLvl w:val="9"/>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3"/>
                <w:szCs w:val="13"/>
                <w:u w:val="none"/>
                <w:lang w:val="en-US" w:eastAsia="zh-CN" w:bidi="ar"/>
              </w:rPr>
              <w:t>由于家具特殊性，可允许误差±1-2cm</w:t>
            </w:r>
          </w:p>
        </w:tc>
      </w:tr>
      <w:tr w14:paraId="4C6DF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0" w:type="auto"/>
            <w:shd w:val="clear" w:color="auto" w:fill="auto"/>
            <w:vAlign w:val="center"/>
          </w:tcPr>
          <w:p w14:paraId="50A114CB">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12</w:t>
            </w:r>
          </w:p>
        </w:tc>
        <w:tc>
          <w:tcPr>
            <w:tcW w:w="1305" w:type="dxa"/>
            <w:shd w:val="clear" w:color="auto" w:fill="auto"/>
            <w:vAlign w:val="center"/>
          </w:tcPr>
          <w:p w14:paraId="246F0B7F">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移动办公长条桌</w:t>
            </w:r>
          </w:p>
        </w:tc>
        <w:tc>
          <w:tcPr>
            <w:tcW w:w="1994" w:type="dxa"/>
            <w:shd w:val="clear" w:color="auto" w:fill="auto"/>
            <w:vAlign w:val="center"/>
          </w:tcPr>
          <w:p w14:paraId="3FEEFCF8">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长120*宽60*高75cm</w:t>
            </w:r>
          </w:p>
        </w:tc>
        <w:tc>
          <w:tcPr>
            <w:tcW w:w="0" w:type="auto"/>
            <w:shd w:val="clear" w:color="auto" w:fill="auto"/>
            <w:noWrap/>
            <w:vAlign w:val="center"/>
          </w:tcPr>
          <w:p w14:paraId="7843838F">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张</w:t>
            </w:r>
          </w:p>
        </w:tc>
        <w:tc>
          <w:tcPr>
            <w:tcW w:w="0" w:type="auto"/>
            <w:shd w:val="clear" w:color="auto" w:fill="auto"/>
            <w:vAlign w:val="center"/>
          </w:tcPr>
          <w:p w14:paraId="053EF58B">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6</w:t>
            </w:r>
          </w:p>
        </w:tc>
        <w:tc>
          <w:tcPr>
            <w:tcW w:w="2223" w:type="dxa"/>
            <w:shd w:val="clear" w:color="auto" w:fill="auto"/>
            <w:vAlign w:val="center"/>
          </w:tcPr>
          <w:p w14:paraId="38FD5ABE">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80768" behindDoc="0" locked="0" layoutInCell="1" allowOverlap="1">
                  <wp:simplePos x="0" y="0"/>
                  <wp:positionH relativeFrom="column">
                    <wp:posOffset>18415</wp:posOffset>
                  </wp:positionH>
                  <wp:positionV relativeFrom="paragraph">
                    <wp:posOffset>47625</wp:posOffset>
                  </wp:positionV>
                  <wp:extent cx="1146175" cy="787400"/>
                  <wp:effectExtent l="0" t="0" r="15875" b="12700"/>
                  <wp:wrapNone/>
                  <wp:docPr id="195" name="ID_82AEC062086A4CC699BABE58752DC925"/>
                  <wp:cNvGraphicFramePr/>
                  <a:graphic xmlns:a="http://schemas.openxmlformats.org/drawingml/2006/main">
                    <a:graphicData uri="http://schemas.openxmlformats.org/drawingml/2006/picture">
                      <pic:pic xmlns:pic="http://schemas.openxmlformats.org/drawingml/2006/picture">
                        <pic:nvPicPr>
                          <pic:cNvPr id="195" name="ID_82AEC062086A4CC699BABE58752DC925"/>
                          <pic:cNvPicPr/>
                        </pic:nvPicPr>
                        <pic:blipFill>
                          <a:blip r:embed="rId15"/>
                          <a:stretch>
                            <a:fillRect/>
                          </a:stretch>
                        </pic:blipFill>
                        <pic:spPr>
                          <a:xfrm>
                            <a:off x="0" y="0"/>
                            <a:ext cx="1146175" cy="787400"/>
                          </a:xfrm>
                          <a:prstGeom prst="rect">
                            <a:avLst/>
                          </a:prstGeom>
                          <a:noFill/>
                          <a:ln>
                            <a:noFill/>
                          </a:ln>
                        </pic:spPr>
                      </pic:pic>
                    </a:graphicData>
                  </a:graphic>
                </wp:anchor>
              </w:drawing>
            </w:r>
          </w:p>
        </w:tc>
        <w:tc>
          <w:tcPr>
            <w:tcW w:w="5988" w:type="dxa"/>
            <w:shd w:val="clear" w:color="auto" w:fill="auto"/>
            <w:vAlign w:val="center"/>
          </w:tcPr>
          <w:p w14:paraId="419CFFAE">
            <w:pPr>
              <w:keepNext w:val="0"/>
              <w:keepLines w:val="0"/>
              <w:widowControl/>
              <w:suppressLineNumbers w:val="0"/>
              <w:jc w:val="left"/>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桌板采用E1级加厚环保板材，加厚桌面PVC封边，厚度</w:t>
            </w:r>
            <w:r>
              <w:rPr>
                <w:rStyle w:val="123"/>
                <w:rFonts w:eastAsia="宋体"/>
                <w:lang w:val="en-US" w:eastAsia="zh-CN" w:bidi="ar"/>
              </w:rPr>
              <w:t>≥</w:t>
            </w:r>
            <w:r>
              <w:rPr>
                <w:rStyle w:val="124"/>
                <w:lang w:val="en-US" w:eastAsia="zh-CN" w:bidi="ar"/>
              </w:rPr>
              <w:t>25mm；静音万向轮（带刹车），子母扣，桌腿是1.5mm冷轧钢，刚制置物板，高温静电喷涂，网孔钢制挡板，颜色可以定制，材质只能优于</w:t>
            </w:r>
          </w:p>
        </w:tc>
        <w:tc>
          <w:tcPr>
            <w:tcW w:w="0" w:type="auto"/>
            <w:shd w:val="clear" w:color="auto" w:fill="auto"/>
            <w:vAlign w:val="center"/>
          </w:tcPr>
          <w:p w14:paraId="0FC49781">
            <w:pPr>
              <w:keepNext w:val="0"/>
              <w:keepLines w:val="0"/>
              <w:widowControl/>
              <w:suppressLineNumbers w:val="0"/>
              <w:jc w:val="center"/>
              <w:textAlignment w:val="center"/>
              <w:outlineLvl w:val="9"/>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3"/>
                <w:szCs w:val="13"/>
                <w:u w:val="none"/>
                <w:lang w:val="en-US" w:eastAsia="zh-CN" w:bidi="ar"/>
              </w:rPr>
              <w:t>由于家具特殊性，可允许误差±1-2cm</w:t>
            </w:r>
          </w:p>
        </w:tc>
      </w:tr>
      <w:tr w14:paraId="43155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0" w:type="auto"/>
            <w:shd w:val="clear" w:color="auto" w:fill="auto"/>
            <w:vAlign w:val="center"/>
          </w:tcPr>
          <w:p w14:paraId="6BEBE6E9">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13</w:t>
            </w:r>
          </w:p>
        </w:tc>
        <w:tc>
          <w:tcPr>
            <w:tcW w:w="1305" w:type="dxa"/>
            <w:shd w:val="clear" w:color="auto" w:fill="auto"/>
            <w:vAlign w:val="center"/>
          </w:tcPr>
          <w:p w14:paraId="2F5FF17D">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移动办公长条桌</w:t>
            </w:r>
          </w:p>
        </w:tc>
        <w:tc>
          <w:tcPr>
            <w:tcW w:w="1994" w:type="dxa"/>
            <w:shd w:val="clear" w:color="auto" w:fill="auto"/>
            <w:vAlign w:val="center"/>
          </w:tcPr>
          <w:p w14:paraId="67C9D449">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长140*宽60*高75cm</w:t>
            </w:r>
          </w:p>
        </w:tc>
        <w:tc>
          <w:tcPr>
            <w:tcW w:w="0" w:type="auto"/>
            <w:shd w:val="clear" w:color="auto" w:fill="auto"/>
            <w:vAlign w:val="center"/>
          </w:tcPr>
          <w:p w14:paraId="2BDED4AD">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张</w:t>
            </w:r>
          </w:p>
        </w:tc>
        <w:tc>
          <w:tcPr>
            <w:tcW w:w="0" w:type="auto"/>
            <w:shd w:val="clear" w:color="auto" w:fill="auto"/>
            <w:vAlign w:val="center"/>
          </w:tcPr>
          <w:p w14:paraId="54486707">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52</w:t>
            </w:r>
          </w:p>
        </w:tc>
        <w:tc>
          <w:tcPr>
            <w:tcW w:w="2223" w:type="dxa"/>
            <w:shd w:val="clear" w:color="auto" w:fill="auto"/>
            <w:vAlign w:val="center"/>
          </w:tcPr>
          <w:p w14:paraId="1A5C4F0B">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29210</wp:posOffset>
                  </wp:positionH>
                  <wp:positionV relativeFrom="paragraph">
                    <wp:posOffset>26035</wp:posOffset>
                  </wp:positionV>
                  <wp:extent cx="1146175" cy="789940"/>
                  <wp:effectExtent l="0" t="0" r="15875" b="10160"/>
                  <wp:wrapNone/>
                  <wp:docPr id="196" name="ID_58FC0DDE96584E438C6F8D8F3846E00F"/>
                  <wp:cNvGraphicFramePr/>
                  <a:graphic xmlns:a="http://schemas.openxmlformats.org/drawingml/2006/main">
                    <a:graphicData uri="http://schemas.openxmlformats.org/drawingml/2006/picture">
                      <pic:pic xmlns:pic="http://schemas.openxmlformats.org/drawingml/2006/picture">
                        <pic:nvPicPr>
                          <pic:cNvPr id="196" name="ID_58FC0DDE96584E438C6F8D8F3846E00F"/>
                          <pic:cNvPicPr/>
                        </pic:nvPicPr>
                        <pic:blipFill>
                          <a:blip r:embed="rId15"/>
                          <a:stretch>
                            <a:fillRect/>
                          </a:stretch>
                        </pic:blipFill>
                        <pic:spPr>
                          <a:xfrm>
                            <a:off x="0" y="0"/>
                            <a:ext cx="1146175" cy="789940"/>
                          </a:xfrm>
                          <a:prstGeom prst="rect">
                            <a:avLst/>
                          </a:prstGeom>
                          <a:noFill/>
                          <a:ln>
                            <a:noFill/>
                          </a:ln>
                        </pic:spPr>
                      </pic:pic>
                    </a:graphicData>
                  </a:graphic>
                </wp:anchor>
              </w:drawing>
            </w:r>
          </w:p>
        </w:tc>
        <w:tc>
          <w:tcPr>
            <w:tcW w:w="5988" w:type="dxa"/>
            <w:shd w:val="clear" w:color="auto" w:fill="auto"/>
            <w:vAlign w:val="center"/>
          </w:tcPr>
          <w:p w14:paraId="7F597D6C">
            <w:pPr>
              <w:keepNext w:val="0"/>
              <w:keepLines w:val="0"/>
              <w:widowControl/>
              <w:suppressLineNumbers w:val="0"/>
              <w:jc w:val="left"/>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一桌多用，可自由拼接，桌板采用E1级加厚环保板材，易清洗不沾水油，耐刮蹭，耐热耐高温，厚度≥25mm加厚桌面，PVC光滑封边；高承载耐磨静音万向轮（带刹车），子母扣；品质钢架，1.5mm全系冷轧钢，高温静电喷涂冷轧管，钢制置物板，高温静电喷涂，网孔钢制挡板，颜色可以定制。材质只能优于</w:t>
            </w:r>
          </w:p>
        </w:tc>
        <w:tc>
          <w:tcPr>
            <w:tcW w:w="0" w:type="auto"/>
            <w:shd w:val="clear" w:color="auto" w:fill="auto"/>
            <w:vAlign w:val="center"/>
          </w:tcPr>
          <w:p w14:paraId="5FDBAE41">
            <w:pPr>
              <w:keepNext w:val="0"/>
              <w:keepLines w:val="0"/>
              <w:widowControl/>
              <w:suppressLineNumbers w:val="0"/>
              <w:jc w:val="center"/>
              <w:textAlignment w:val="center"/>
              <w:outlineLvl w:val="9"/>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3"/>
                <w:szCs w:val="13"/>
                <w:u w:val="none"/>
                <w:lang w:val="en-US" w:eastAsia="zh-CN" w:bidi="ar"/>
              </w:rPr>
              <w:t>由于家具特殊性，可允许误差±1-2cm</w:t>
            </w:r>
          </w:p>
        </w:tc>
      </w:tr>
      <w:tr w14:paraId="2A3F6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jc w:val="center"/>
        </w:trPr>
        <w:tc>
          <w:tcPr>
            <w:tcW w:w="0" w:type="auto"/>
            <w:shd w:val="clear" w:color="auto" w:fill="auto"/>
            <w:vAlign w:val="center"/>
          </w:tcPr>
          <w:p w14:paraId="7E10E40B">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14</w:t>
            </w:r>
          </w:p>
        </w:tc>
        <w:tc>
          <w:tcPr>
            <w:tcW w:w="1305" w:type="dxa"/>
            <w:shd w:val="clear" w:color="auto" w:fill="auto"/>
            <w:vAlign w:val="center"/>
          </w:tcPr>
          <w:p w14:paraId="6110FFF0">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会议讨论室办公椅</w:t>
            </w:r>
          </w:p>
        </w:tc>
        <w:tc>
          <w:tcPr>
            <w:tcW w:w="1994" w:type="dxa"/>
            <w:shd w:val="clear" w:color="auto" w:fill="auto"/>
            <w:vAlign w:val="center"/>
          </w:tcPr>
          <w:p w14:paraId="01338850">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长60*宽50*高85CM</w:t>
            </w:r>
          </w:p>
        </w:tc>
        <w:tc>
          <w:tcPr>
            <w:tcW w:w="0" w:type="auto"/>
            <w:shd w:val="clear" w:color="auto" w:fill="auto"/>
            <w:vAlign w:val="center"/>
          </w:tcPr>
          <w:p w14:paraId="3C16A07D">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张</w:t>
            </w:r>
          </w:p>
        </w:tc>
        <w:tc>
          <w:tcPr>
            <w:tcW w:w="0" w:type="auto"/>
            <w:shd w:val="clear" w:color="auto" w:fill="auto"/>
            <w:vAlign w:val="center"/>
          </w:tcPr>
          <w:p w14:paraId="41F747E1">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120</w:t>
            </w:r>
          </w:p>
        </w:tc>
        <w:tc>
          <w:tcPr>
            <w:tcW w:w="2223" w:type="dxa"/>
            <w:shd w:val="clear" w:color="auto" w:fill="auto"/>
            <w:vAlign w:val="center"/>
          </w:tcPr>
          <w:p w14:paraId="79C5EC5F">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41275</wp:posOffset>
                  </wp:positionH>
                  <wp:positionV relativeFrom="paragraph">
                    <wp:posOffset>82550</wp:posOffset>
                  </wp:positionV>
                  <wp:extent cx="1083310" cy="742315"/>
                  <wp:effectExtent l="0" t="0" r="2540" b="635"/>
                  <wp:wrapNone/>
                  <wp:docPr id="197" name="ID_CFA33BA858D74FA2916DE3442AD996F5"/>
                  <wp:cNvGraphicFramePr/>
                  <a:graphic xmlns:a="http://schemas.openxmlformats.org/drawingml/2006/main">
                    <a:graphicData uri="http://schemas.openxmlformats.org/drawingml/2006/picture">
                      <pic:pic xmlns:pic="http://schemas.openxmlformats.org/drawingml/2006/picture">
                        <pic:nvPicPr>
                          <pic:cNvPr id="197" name="ID_CFA33BA858D74FA2916DE3442AD996F5"/>
                          <pic:cNvPicPr/>
                        </pic:nvPicPr>
                        <pic:blipFill>
                          <a:blip r:embed="rId16"/>
                          <a:stretch>
                            <a:fillRect/>
                          </a:stretch>
                        </pic:blipFill>
                        <pic:spPr>
                          <a:xfrm>
                            <a:off x="0" y="0"/>
                            <a:ext cx="1083310" cy="742315"/>
                          </a:xfrm>
                          <a:prstGeom prst="rect">
                            <a:avLst/>
                          </a:prstGeom>
                          <a:noFill/>
                          <a:ln>
                            <a:noFill/>
                          </a:ln>
                        </pic:spPr>
                      </pic:pic>
                    </a:graphicData>
                  </a:graphic>
                </wp:anchor>
              </w:drawing>
            </w:r>
          </w:p>
        </w:tc>
        <w:tc>
          <w:tcPr>
            <w:tcW w:w="5988" w:type="dxa"/>
            <w:shd w:val="clear" w:color="auto" w:fill="auto"/>
            <w:vAlign w:val="center"/>
          </w:tcPr>
          <w:p w14:paraId="0649AE22">
            <w:pPr>
              <w:keepNext w:val="0"/>
              <w:keepLines w:val="0"/>
              <w:widowControl/>
              <w:suppressLineNumbers w:val="0"/>
              <w:jc w:val="left"/>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可折叠办公椅，椅脚材质为烤漆钢管(净厚1.5MM)，护腰靠背，靠背材质PP+(网布面料)，海绵50MM厚定型海绵，固定扶手，座垫材质为坐壳PP+弹力布面制，颜色可以定制，尺寸数据可存在少量差异。材质只能优于</w:t>
            </w:r>
          </w:p>
        </w:tc>
        <w:tc>
          <w:tcPr>
            <w:tcW w:w="0" w:type="auto"/>
            <w:shd w:val="clear" w:color="auto" w:fill="auto"/>
            <w:vAlign w:val="center"/>
          </w:tcPr>
          <w:p w14:paraId="4899599F">
            <w:pPr>
              <w:keepNext w:val="0"/>
              <w:keepLines w:val="0"/>
              <w:widowControl/>
              <w:suppressLineNumbers w:val="0"/>
              <w:jc w:val="center"/>
              <w:textAlignment w:val="center"/>
              <w:outlineLvl w:val="9"/>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3"/>
                <w:szCs w:val="13"/>
                <w:u w:val="none"/>
                <w:lang w:val="en-US" w:eastAsia="zh-CN" w:bidi="ar"/>
              </w:rPr>
              <w:t>备注</w:t>
            </w:r>
          </w:p>
        </w:tc>
      </w:tr>
      <w:tr w14:paraId="7FBD3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0" w:type="auto"/>
            <w:shd w:val="clear" w:color="auto" w:fill="auto"/>
            <w:vAlign w:val="center"/>
          </w:tcPr>
          <w:p w14:paraId="7D37042B">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15</w:t>
            </w:r>
          </w:p>
        </w:tc>
        <w:tc>
          <w:tcPr>
            <w:tcW w:w="1305" w:type="dxa"/>
            <w:shd w:val="clear" w:color="auto" w:fill="auto"/>
            <w:vAlign w:val="center"/>
          </w:tcPr>
          <w:p w14:paraId="7C02C6F2">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办公桌</w:t>
            </w:r>
          </w:p>
        </w:tc>
        <w:tc>
          <w:tcPr>
            <w:tcW w:w="1994" w:type="dxa"/>
            <w:shd w:val="clear" w:color="auto" w:fill="auto"/>
            <w:vAlign w:val="center"/>
          </w:tcPr>
          <w:p w14:paraId="1C960D58">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长160*宽80*高75cm</w:t>
            </w:r>
          </w:p>
        </w:tc>
        <w:tc>
          <w:tcPr>
            <w:tcW w:w="0" w:type="auto"/>
            <w:shd w:val="clear" w:color="auto" w:fill="auto"/>
            <w:vAlign w:val="center"/>
          </w:tcPr>
          <w:p w14:paraId="2750F74B">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张</w:t>
            </w:r>
          </w:p>
        </w:tc>
        <w:tc>
          <w:tcPr>
            <w:tcW w:w="0" w:type="auto"/>
            <w:shd w:val="clear" w:color="auto" w:fill="auto"/>
            <w:vAlign w:val="center"/>
          </w:tcPr>
          <w:p w14:paraId="4073E993">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3</w:t>
            </w:r>
          </w:p>
        </w:tc>
        <w:tc>
          <w:tcPr>
            <w:tcW w:w="2223" w:type="dxa"/>
            <w:shd w:val="clear" w:color="auto" w:fill="auto"/>
            <w:vAlign w:val="center"/>
          </w:tcPr>
          <w:p w14:paraId="2FFB66B0">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FF"/>
                <w:kern w:val="0"/>
                <w:sz w:val="22"/>
                <w:szCs w:val="22"/>
                <w:u w:val="singl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-7620</wp:posOffset>
                  </wp:positionH>
                  <wp:positionV relativeFrom="paragraph">
                    <wp:posOffset>88265</wp:posOffset>
                  </wp:positionV>
                  <wp:extent cx="1161415" cy="465455"/>
                  <wp:effectExtent l="0" t="0" r="635" b="10795"/>
                  <wp:wrapNone/>
                  <wp:docPr id="198" name="图片_1"/>
                  <wp:cNvGraphicFramePr/>
                  <a:graphic xmlns:a="http://schemas.openxmlformats.org/drawingml/2006/main">
                    <a:graphicData uri="http://schemas.openxmlformats.org/drawingml/2006/picture">
                      <pic:pic xmlns:pic="http://schemas.openxmlformats.org/drawingml/2006/picture">
                        <pic:nvPicPr>
                          <pic:cNvPr id="198" name="图片_1"/>
                          <pic:cNvPicPr/>
                        </pic:nvPicPr>
                        <pic:blipFill>
                          <a:blip r:embed="rId17"/>
                          <a:stretch>
                            <a:fillRect/>
                          </a:stretch>
                        </pic:blipFill>
                        <pic:spPr>
                          <a:xfrm>
                            <a:off x="0" y="0"/>
                            <a:ext cx="1161415" cy="465455"/>
                          </a:xfrm>
                          <a:prstGeom prst="rect">
                            <a:avLst/>
                          </a:prstGeom>
                          <a:noFill/>
                          <a:ln>
                            <a:noFill/>
                          </a:ln>
                        </pic:spPr>
                      </pic:pic>
                    </a:graphicData>
                  </a:graphic>
                </wp:anchor>
              </w:drawing>
            </w:r>
          </w:p>
        </w:tc>
        <w:tc>
          <w:tcPr>
            <w:tcW w:w="5988" w:type="dxa"/>
            <w:shd w:val="clear" w:color="auto" w:fill="auto"/>
            <w:vAlign w:val="center"/>
          </w:tcPr>
          <w:p w14:paraId="12A53111">
            <w:pPr>
              <w:keepNext w:val="0"/>
              <w:keepLines w:val="0"/>
              <w:widowControl/>
              <w:suppressLineNumbers w:val="0"/>
              <w:jc w:val="left"/>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现代简约办公桌，经典胡桃色，EO级环保板材，胡桃木贴皮，加厚承重台面，智能线缆管理，优质五金配件，侧柜左右安装，带抽屉、键盘架等</w:t>
            </w:r>
          </w:p>
        </w:tc>
        <w:tc>
          <w:tcPr>
            <w:tcW w:w="0" w:type="auto"/>
            <w:shd w:val="clear" w:color="auto" w:fill="auto"/>
            <w:vAlign w:val="center"/>
          </w:tcPr>
          <w:p w14:paraId="7170602A">
            <w:pPr>
              <w:keepNext w:val="0"/>
              <w:keepLines w:val="0"/>
              <w:widowControl/>
              <w:suppressLineNumbers w:val="0"/>
              <w:jc w:val="center"/>
              <w:textAlignment w:val="center"/>
              <w:outlineLvl w:val="9"/>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3"/>
                <w:szCs w:val="13"/>
                <w:u w:val="none"/>
                <w:lang w:val="en-US" w:eastAsia="zh-CN" w:bidi="ar"/>
              </w:rPr>
              <w:t>含锁及所有配件</w:t>
            </w:r>
          </w:p>
        </w:tc>
      </w:tr>
      <w:tr w14:paraId="25807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jc w:val="center"/>
        </w:trPr>
        <w:tc>
          <w:tcPr>
            <w:tcW w:w="0" w:type="auto"/>
            <w:shd w:val="clear" w:color="auto" w:fill="auto"/>
            <w:vAlign w:val="center"/>
          </w:tcPr>
          <w:p w14:paraId="0B62F2EE">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24"/>
                <w:szCs w:val="24"/>
                <w:u w:val="none"/>
                <w:lang w:val="en-US" w:eastAsia="zh-CN" w:bidi="ar"/>
              </w:rPr>
              <w:t>16</w:t>
            </w:r>
          </w:p>
        </w:tc>
        <w:tc>
          <w:tcPr>
            <w:tcW w:w="1305" w:type="dxa"/>
            <w:shd w:val="clear" w:color="auto" w:fill="auto"/>
            <w:vAlign w:val="center"/>
          </w:tcPr>
          <w:p w14:paraId="69B036B9">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20"/>
                <w:szCs w:val="20"/>
                <w:u w:val="none"/>
                <w:lang w:val="en-US" w:eastAsia="zh-CN" w:bidi="ar"/>
              </w:rPr>
              <w:t>办公椅</w:t>
            </w:r>
          </w:p>
        </w:tc>
        <w:tc>
          <w:tcPr>
            <w:tcW w:w="1994" w:type="dxa"/>
            <w:shd w:val="clear" w:color="auto" w:fill="auto"/>
            <w:vAlign w:val="center"/>
          </w:tcPr>
          <w:p w14:paraId="0886672D">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45cm*44cm*44cm*90cm高</w:t>
            </w:r>
          </w:p>
        </w:tc>
        <w:tc>
          <w:tcPr>
            <w:tcW w:w="0" w:type="auto"/>
            <w:shd w:val="clear" w:color="auto" w:fill="auto"/>
            <w:vAlign w:val="center"/>
          </w:tcPr>
          <w:p w14:paraId="71163899">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20"/>
                <w:szCs w:val="20"/>
                <w:u w:val="none"/>
                <w:lang w:val="en-US" w:eastAsia="zh-CN" w:bidi="ar"/>
              </w:rPr>
              <w:t>张</w:t>
            </w:r>
          </w:p>
        </w:tc>
        <w:tc>
          <w:tcPr>
            <w:tcW w:w="0" w:type="auto"/>
            <w:shd w:val="clear" w:color="auto" w:fill="auto"/>
            <w:vAlign w:val="center"/>
          </w:tcPr>
          <w:p w14:paraId="0A73C4EC">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20"/>
                <w:szCs w:val="20"/>
                <w:u w:val="none"/>
                <w:lang w:val="en-US" w:eastAsia="zh-CN" w:bidi="ar"/>
              </w:rPr>
              <w:t>3</w:t>
            </w:r>
          </w:p>
        </w:tc>
        <w:tc>
          <w:tcPr>
            <w:tcW w:w="2223" w:type="dxa"/>
            <w:shd w:val="clear" w:color="auto" w:fill="auto"/>
            <w:vAlign w:val="center"/>
          </w:tcPr>
          <w:p w14:paraId="2931B091">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84864" behindDoc="0" locked="0" layoutInCell="1" allowOverlap="1">
                  <wp:simplePos x="0" y="0"/>
                  <wp:positionH relativeFrom="column">
                    <wp:posOffset>280035</wp:posOffset>
                  </wp:positionH>
                  <wp:positionV relativeFrom="paragraph">
                    <wp:posOffset>-91440</wp:posOffset>
                  </wp:positionV>
                  <wp:extent cx="894080" cy="807720"/>
                  <wp:effectExtent l="0" t="0" r="1270" b="11430"/>
                  <wp:wrapNone/>
                  <wp:docPr id="199" name="图片_4"/>
                  <wp:cNvGraphicFramePr/>
                  <a:graphic xmlns:a="http://schemas.openxmlformats.org/drawingml/2006/main">
                    <a:graphicData uri="http://schemas.openxmlformats.org/drawingml/2006/picture">
                      <pic:pic xmlns:pic="http://schemas.openxmlformats.org/drawingml/2006/picture">
                        <pic:nvPicPr>
                          <pic:cNvPr id="199" name="图片_4"/>
                          <pic:cNvPicPr/>
                        </pic:nvPicPr>
                        <pic:blipFill>
                          <a:blip r:embed="rId18"/>
                          <a:stretch>
                            <a:fillRect/>
                          </a:stretch>
                        </pic:blipFill>
                        <pic:spPr>
                          <a:xfrm>
                            <a:off x="0" y="0"/>
                            <a:ext cx="894080" cy="807720"/>
                          </a:xfrm>
                          <a:prstGeom prst="rect">
                            <a:avLst/>
                          </a:prstGeom>
                          <a:noFill/>
                          <a:ln>
                            <a:noFill/>
                          </a:ln>
                        </pic:spPr>
                      </pic:pic>
                    </a:graphicData>
                  </a:graphic>
                </wp:anchor>
              </w:drawing>
            </w:r>
          </w:p>
        </w:tc>
        <w:tc>
          <w:tcPr>
            <w:tcW w:w="5988" w:type="dxa"/>
            <w:shd w:val="clear" w:color="auto" w:fill="auto"/>
            <w:vAlign w:val="center"/>
          </w:tcPr>
          <w:p w14:paraId="6F687331">
            <w:pPr>
              <w:keepNext w:val="0"/>
              <w:keepLines w:val="0"/>
              <w:widowControl/>
              <w:suppressLineNumbers w:val="0"/>
              <w:jc w:val="center"/>
              <w:textAlignment w:val="center"/>
              <w:outlineLvl w:val="9"/>
              <w:rPr>
                <w:rFonts w:hint="eastAsia"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实木椅子，橡木实木，厚实椅脚，椅脚是整木单独制成，无拼接，受力均匀，承重力强，质量稳固，与上述15项办公桌颜色配套</w:t>
            </w:r>
          </w:p>
        </w:tc>
        <w:tc>
          <w:tcPr>
            <w:tcW w:w="0" w:type="auto"/>
            <w:shd w:val="clear" w:color="auto" w:fill="auto"/>
            <w:vAlign w:val="center"/>
          </w:tcPr>
          <w:p w14:paraId="325BF134">
            <w:pPr>
              <w:keepNext w:val="0"/>
              <w:keepLines w:val="0"/>
              <w:widowControl/>
              <w:suppressLineNumbers w:val="0"/>
              <w:jc w:val="center"/>
              <w:textAlignment w:val="center"/>
              <w:outlineLvl w:val="9"/>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3"/>
                <w:szCs w:val="13"/>
                <w:u w:val="none"/>
                <w:lang w:val="en-US" w:eastAsia="zh-CN" w:bidi="ar"/>
              </w:rPr>
              <w:t>深度60CM</w:t>
            </w:r>
          </w:p>
        </w:tc>
      </w:tr>
      <w:tr w14:paraId="7CF37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4174" w:type="dxa"/>
            <w:gridSpan w:val="8"/>
            <w:shd w:val="clear" w:color="auto" w:fill="auto"/>
            <w:vAlign w:val="center"/>
          </w:tcPr>
          <w:p w14:paraId="5694C5A8">
            <w:pPr>
              <w:keepNext w:val="0"/>
              <w:keepLines w:val="0"/>
              <w:widowControl/>
              <w:suppressLineNumbers w:val="0"/>
              <w:jc w:val="left"/>
              <w:textAlignment w:val="center"/>
              <w:outlineLvl w:val="9"/>
              <w:rPr>
                <w:rFonts w:hint="default" w:ascii="宋体" w:hAnsi="宋体" w:eastAsia="宋体" w:cs="宋体"/>
                <w:i w:val="0"/>
                <w:iCs w:val="0"/>
                <w:color w:val="000000"/>
                <w:kern w:val="0"/>
                <w:sz w:val="13"/>
                <w:szCs w:val="13"/>
                <w:u w:val="none"/>
                <w:lang w:val="en-US" w:eastAsia="zh-CN" w:bidi="ar"/>
              </w:rPr>
            </w:pPr>
            <w:r>
              <w:rPr>
                <w:rFonts w:hint="eastAsia" w:ascii="宋体" w:hAnsi="宋体" w:cs="宋体"/>
                <w:i w:val="0"/>
                <w:iCs w:val="0"/>
                <w:color w:val="000000"/>
                <w:kern w:val="0"/>
                <w:sz w:val="18"/>
                <w:szCs w:val="18"/>
                <w:u w:val="none"/>
                <w:lang w:val="en-US" w:eastAsia="zh-CN" w:bidi="ar"/>
              </w:rPr>
              <w:t>备注：所有的家具均需要看样定板。</w:t>
            </w:r>
          </w:p>
        </w:tc>
      </w:tr>
    </w:tbl>
    <w:p w14:paraId="11A08CF2">
      <w:pPr>
        <w:pStyle w:val="22"/>
        <w:widowControl w:val="0"/>
        <w:tabs>
          <w:tab w:val="left" w:pos="540"/>
        </w:tabs>
        <w:adjustRightInd w:val="0"/>
        <w:snapToGrid w:val="0"/>
        <w:spacing w:before="0" w:beforeAutospacing="0" w:after="0" w:afterAutospacing="0" w:line="360" w:lineRule="auto"/>
        <w:jc w:val="both"/>
        <w:outlineLvl w:val="9"/>
        <w:rPr>
          <w:rFonts w:hint="eastAsia" w:ascii="宋体" w:hAnsi="宋体" w:eastAsia="宋体" w:cs="宋体"/>
          <w:b/>
          <w:sz w:val="21"/>
          <w:szCs w:val="21"/>
        </w:rPr>
        <w:sectPr>
          <w:pgSz w:w="16838" w:h="11906" w:orient="landscape"/>
          <w:pgMar w:top="1797" w:right="1440" w:bottom="1797" w:left="1440" w:header="851" w:footer="992" w:gutter="0"/>
          <w:cols w:space="720" w:num="1"/>
          <w:docGrid w:type="lines" w:linePitch="312" w:charSpace="0"/>
        </w:sectPr>
      </w:pPr>
      <w:bookmarkStart w:id="4" w:name="_GoBack"/>
      <w:bookmarkEnd w:id="4"/>
    </w:p>
    <w:p w14:paraId="423184BA">
      <w:pPr>
        <w:pageBreakBefore w:val="0"/>
        <w:widowControl w:val="0"/>
        <w:numPr>
          <w:ilvl w:val="0"/>
          <w:numId w:val="27"/>
        </w:numPr>
        <w:tabs>
          <w:tab w:val="left" w:pos="1259"/>
        </w:tabs>
        <w:kinsoku/>
        <w:wordWrap/>
        <w:overflowPunct/>
        <w:topLinePunct w:val="0"/>
        <w:bidi w:val="0"/>
        <w:spacing w:before="0" w:after="0" w:line="360" w:lineRule="auto"/>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样品要求</w:t>
      </w:r>
    </w:p>
    <w:p w14:paraId="3840FF50">
      <w:pPr>
        <w:pageBreakBefore w:val="0"/>
        <w:widowControl w:val="0"/>
        <w:kinsoku/>
        <w:wordWrap/>
        <w:overflowPunct/>
        <w:topLinePunct w:val="0"/>
        <w:bidi w:val="0"/>
        <w:snapToGrid w:val="0"/>
        <w:spacing w:line="360" w:lineRule="auto"/>
        <w:ind w:firstLine="420" w:firstLineChars="200"/>
        <w:textAlignment w:val="auto"/>
        <w:outlineLvl w:val="9"/>
        <w:rPr>
          <w:rFonts w:hint="eastAsia" w:ascii="宋体" w:hAnsi="宋体" w:eastAsia="宋体" w:cs="宋体"/>
          <w:b/>
          <w:sz w:val="21"/>
          <w:szCs w:val="21"/>
        </w:rPr>
      </w:pPr>
      <w:r>
        <w:rPr>
          <w:rFonts w:hint="eastAsia" w:ascii="宋体" w:hAnsi="宋体" w:eastAsia="宋体" w:cs="宋体"/>
          <w:sz w:val="21"/>
          <w:szCs w:val="21"/>
          <w:lang w:bidi="ar"/>
        </w:rPr>
        <w:t>为确保本项目保质保量及诚信履约，</w:t>
      </w:r>
      <w:r>
        <w:rPr>
          <w:rFonts w:hint="eastAsia" w:ascii="宋体" w:hAnsi="宋体" w:eastAsia="宋体" w:cs="宋体"/>
          <w:sz w:val="21"/>
          <w:szCs w:val="21"/>
          <w:lang w:eastAsia="zh-CN" w:bidi="ar"/>
        </w:rPr>
        <w:t>甲方</w:t>
      </w:r>
      <w:r>
        <w:rPr>
          <w:rFonts w:hint="eastAsia" w:ascii="宋体" w:hAnsi="宋体" w:eastAsia="宋体" w:cs="宋体"/>
          <w:sz w:val="21"/>
          <w:szCs w:val="21"/>
          <w:lang w:bidi="ar"/>
        </w:rPr>
        <w:t>对货物需求已在采购清单及技术要求中做出明确，在合同签订后，通过勘验现场，与</w:t>
      </w:r>
      <w:r>
        <w:rPr>
          <w:rFonts w:hint="eastAsia" w:ascii="宋体" w:hAnsi="宋体" w:eastAsia="宋体" w:cs="宋体"/>
          <w:sz w:val="21"/>
          <w:szCs w:val="21"/>
          <w:lang w:eastAsia="zh-CN" w:bidi="ar"/>
        </w:rPr>
        <w:t>甲方</w:t>
      </w:r>
      <w:r>
        <w:rPr>
          <w:rFonts w:hint="eastAsia" w:ascii="宋体" w:hAnsi="宋体" w:eastAsia="宋体" w:cs="宋体"/>
          <w:sz w:val="21"/>
          <w:szCs w:val="21"/>
          <w:lang w:bidi="ar"/>
        </w:rPr>
        <w:t>协商，提供实物样品，经</w:t>
      </w:r>
      <w:r>
        <w:rPr>
          <w:rFonts w:hint="eastAsia" w:ascii="宋体" w:hAnsi="宋体" w:eastAsia="宋体" w:cs="宋体"/>
          <w:sz w:val="21"/>
          <w:szCs w:val="21"/>
          <w:lang w:eastAsia="zh-CN" w:bidi="ar"/>
        </w:rPr>
        <w:t>甲方</w:t>
      </w:r>
      <w:r>
        <w:rPr>
          <w:rFonts w:hint="eastAsia" w:ascii="宋体" w:hAnsi="宋体" w:eastAsia="宋体" w:cs="宋体"/>
          <w:sz w:val="21"/>
          <w:szCs w:val="21"/>
          <w:lang w:bidi="ar"/>
        </w:rPr>
        <w:t>及</w:t>
      </w:r>
      <w:r>
        <w:rPr>
          <w:rFonts w:hint="eastAsia" w:ascii="宋体" w:hAnsi="宋体" w:eastAsia="宋体" w:cs="宋体"/>
          <w:sz w:val="21"/>
          <w:szCs w:val="21"/>
          <w:lang w:eastAsia="zh-CN" w:bidi="ar"/>
        </w:rPr>
        <w:t>乙方</w:t>
      </w:r>
      <w:r>
        <w:rPr>
          <w:rFonts w:hint="eastAsia" w:ascii="宋体" w:hAnsi="宋体" w:eastAsia="宋体" w:cs="宋体"/>
          <w:sz w:val="21"/>
          <w:szCs w:val="21"/>
          <w:lang w:bidi="ar"/>
        </w:rPr>
        <w:t>确认后，作为履约、验收的参考，并按需求</w:t>
      </w:r>
      <w:r>
        <w:rPr>
          <w:rFonts w:hint="eastAsia" w:ascii="宋体" w:hAnsi="宋体" w:eastAsia="宋体" w:cs="宋体"/>
          <w:sz w:val="21"/>
          <w:szCs w:val="21"/>
        </w:rPr>
        <w:t>数量</w:t>
      </w:r>
      <w:r>
        <w:rPr>
          <w:rFonts w:hint="eastAsia" w:ascii="宋体" w:hAnsi="宋体" w:eastAsia="宋体" w:cs="宋体"/>
          <w:sz w:val="21"/>
          <w:szCs w:val="21"/>
          <w:lang w:bidi="ar"/>
        </w:rPr>
        <w:t>批量生产，30个工作日内交货并安装完毕（本项目具体交货安装时间受实训中心基建工程项目施工进度直接影响，具体送货安装时间以</w:t>
      </w:r>
      <w:r>
        <w:rPr>
          <w:rFonts w:hint="eastAsia" w:ascii="宋体" w:hAnsi="宋体" w:eastAsia="宋体" w:cs="宋体"/>
          <w:sz w:val="21"/>
          <w:szCs w:val="21"/>
          <w:lang w:eastAsia="zh-CN" w:bidi="ar"/>
        </w:rPr>
        <w:t>甲方</w:t>
      </w:r>
      <w:r>
        <w:rPr>
          <w:rFonts w:hint="eastAsia" w:ascii="宋体" w:hAnsi="宋体" w:eastAsia="宋体" w:cs="宋体"/>
          <w:sz w:val="21"/>
          <w:szCs w:val="21"/>
          <w:lang w:bidi="ar"/>
        </w:rPr>
        <w:t>通知为准）。</w:t>
      </w:r>
      <w:r>
        <w:rPr>
          <w:rFonts w:hint="eastAsia" w:ascii="宋体" w:hAnsi="宋体" w:eastAsia="宋体" w:cs="宋体"/>
          <w:sz w:val="21"/>
          <w:szCs w:val="21"/>
          <w:lang w:eastAsia="zh-CN" w:bidi="ar"/>
        </w:rPr>
        <w:t>乙方</w:t>
      </w:r>
      <w:r>
        <w:rPr>
          <w:rFonts w:hint="eastAsia" w:ascii="宋体" w:hAnsi="宋体" w:eastAsia="宋体" w:cs="宋体"/>
          <w:sz w:val="21"/>
          <w:szCs w:val="21"/>
          <w:lang w:bidi="ar"/>
        </w:rPr>
        <w:t>第一次提供的样品确认不符合竞价文件需求的，经沟通，纠正，在第二次提供样品时仍不符合的，为避免延误交货，</w:t>
      </w:r>
      <w:r>
        <w:rPr>
          <w:rFonts w:hint="eastAsia" w:ascii="宋体" w:hAnsi="宋体" w:eastAsia="宋体" w:cs="宋体"/>
          <w:sz w:val="21"/>
          <w:szCs w:val="21"/>
          <w:lang w:eastAsia="zh-CN" w:bidi="ar"/>
        </w:rPr>
        <w:t>甲方</w:t>
      </w:r>
      <w:r>
        <w:rPr>
          <w:rFonts w:hint="eastAsia" w:ascii="宋体" w:hAnsi="宋体" w:eastAsia="宋体" w:cs="宋体"/>
          <w:sz w:val="21"/>
          <w:szCs w:val="21"/>
          <w:lang w:bidi="ar"/>
        </w:rPr>
        <w:t>有权立即解除合同，扣除全部履约保证金并追偿因此造成所有的损失。未经双方确认批量生产的货物，因材质、参数、规格不符或其它原因导致无法验收的损失由</w:t>
      </w:r>
      <w:r>
        <w:rPr>
          <w:rFonts w:hint="eastAsia" w:ascii="宋体" w:hAnsi="宋体" w:eastAsia="宋体" w:cs="宋体"/>
          <w:sz w:val="21"/>
          <w:szCs w:val="21"/>
          <w:lang w:eastAsia="zh-CN" w:bidi="ar"/>
        </w:rPr>
        <w:t>乙方</w:t>
      </w:r>
      <w:r>
        <w:rPr>
          <w:rFonts w:hint="eastAsia" w:ascii="宋体" w:hAnsi="宋体" w:eastAsia="宋体" w:cs="宋体"/>
          <w:sz w:val="21"/>
          <w:szCs w:val="21"/>
          <w:lang w:bidi="ar"/>
        </w:rPr>
        <w:t>自行负责。</w:t>
      </w:r>
    </w:p>
    <w:p w14:paraId="2D8D1659">
      <w:pPr>
        <w:pageBreakBefore w:val="0"/>
        <w:widowControl w:val="0"/>
        <w:numPr>
          <w:ilvl w:val="0"/>
          <w:numId w:val="27"/>
        </w:numPr>
        <w:tabs>
          <w:tab w:val="left" w:pos="1259"/>
        </w:tabs>
        <w:kinsoku/>
        <w:wordWrap/>
        <w:overflowPunct/>
        <w:topLinePunct w:val="0"/>
        <w:bidi w:val="0"/>
        <w:spacing w:before="0" w:after="0" w:line="360" w:lineRule="auto"/>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商务要求</w:t>
      </w:r>
    </w:p>
    <w:p w14:paraId="18EA6AD8">
      <w:pPr>
        <w:pageBreakBefore w:val="0"/>
        <w:widowControl w:val="0"/>
        <w:numPr>
          <w:ilvl w:val="0"/>
          <w:numId w:val="28"/>
        </w:numPr>
        <w:kinsoku/>
        <w:wordWrap/>
        <w:overflowPunct/>
        <w:topLinePunct w:val="0"/>
        <w:bidi w:val="0"/>
        <w:snapToGrid w:val="0"/>
        <w:spacing w:line="360" w:lineRule="auto"/>
        <w:textAlignment w:val="auto"/>
        <w:outlineLvl w:val="9"/>
        <w:rPr>
          <w:rFonts w:hint="eastAsia" w:ascii="宋体" w:hAnsi="宋体" w:eastAsia="宋体" w:cs="宋体"/>
          <w:b/>
          <w:sz w:val="21"/>
          <w:szCs w:val="21"/>
        </w:rPr>
      </w:pPr>
      <w:r>
        <w:rPr>
          <w:rFonts w:hint="eastAsia" w:ascii="宋体" w:hAnsi="宋体" w:eastAsia="宋体" w:cs="宋体"/>
          <w:b/>
          <w:sz w:val="21"/>
          <w:szCs w:val="21"/>
          <w:lang w:bidi="ar"/>
        </w:rPr>
        <w:t>质保期及售后服务要求</w:t>
      </w:r>
    </w:p>
    <w:p w14:paraId="52000F65">
      <w:pPr>
        <w:pageBreakBefore w:val="0"/>
        <w:widowControl w:val="0"/>
        <w:numPr>
          <w:ilvl w:val="0"/>
          <w:numId w:val="29"/>
        </w:numPr>
        <w:kinsoku/>
        <w:wordWrap/>
        <w:overflowPunct/>
        <w:topLinePunct w:val="0"/>
        <w:bidi w:val="0"/>
        <w:snapToGrid w:val="0"/>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bidi="ar"/>
        </w:rPr>
        <w:t>本项目所有货物质量保证期（简称“质保期”）为2年，质保期从验收合格之日起计算，质保期内</w:t>
      </w:r>
      <w:r>
        <w:rPr>
          <w:rFonts w:hint="eastAsia" w:ascii="宋体" w:hAnsi="宋体" w:eastAsia="宋体" w:cs="宋体"/>
          <w:sz w:val="21"/>
          <w:szCs w:val="21"/>
          <w:lang w:eastAsia="zh-CN" w:bidi="ar"/>
        </w:rPr>
        <w:t>乙方</w:t>
      </w:r>
      <w:r>
        <w:rPr>
          <w:rFonts w:hint="eastAsia" w:ascii="宋体" w:hAnsi="宋体" w:eastAsia="宋体" w:cs="宋体"/>
          <w:sz w:val="21"/>
          <w:szCs w:val="21"/>
          <w:lang w:bidi="ar"/>
        </w:rPr>
        <w:t>对所供货物实行包修、包换、包退、包维护保养。</w:t>
      </w:r>
    </w:p>
    <w:p w14:paraId="17AA6348">
      <w:pPr>
        <w:pageBreakBefore w:val="0"/>
        <w:widowControl w:val="0"/>
        <w:numPr>
          <w:ilvl w:val="0"/>
          <w:numId w:val="29"/>
        </w:numPr>
        <w:kinsoku/>
        <w:wordWrap/>
        <w:overflowPunct/>
        <w:topLinePunct w:val="0"/>
        <w:bidi w:val="0"/>
        <w:snapToGrid w:val="0"/>
        <w:spacing w:line="360" w:lineRule="auto"/>
        <w:ind w:firstLine="420" w:firstLineChars="200"/>
        <w:textAlignment w:val="auto"/>
        <w:outlineLvl w:val="9"/>
        <w:rPr>
          <w:rFonts w:hint="eastAsia" w:ascii="宋体" w:hAnsi="宋体" w:eastAsia="宋体" w:cs="宋体"/>
          <w:b/>
          <w:sz w:val="21"/>
          <w:szCs w:val="21"/>
        </w:rPr>
      </w:pPr>
      <w:r>
        <w:rPr>
          <w:rFonts w:hint="eastAsia" w:ascii="宋体" w:hAnsi="宋体" w:eastAsia="宋体" w:cs="宋体"/>
          <w:sz w:val="21"/>
          <w:szCs w:val="21"/>
          <w:lang w:bidi="ar"/>
        </w:rPr>
        <w:t>对</w:t>
      </w:r>
      <w:r>
        <w:rPr>
          <w:rFonts w:hint="eastAsia" w:ascii="宋体" w:hAnsi="宋体" w:eastAsia="宋体" w:cs="宋体"/>
          <w:sz w:val="21"/>
          <w:szCs w:val="21"/>
          <w:lang w:eastAsia="zh-CN" w:bidi="ar"/>
        </w:rPr>
        <w:t>甲方</w:t>
      </w:r>
      <w:r>
        <w:rPr>
          <w:rFonts w:hint="eastAsia" w:ascii="宋体" w:hAnsi="宋体" w:eastAsia="宋体" w:cs="宋体"/>
          <w:sz w:val="21"/>
          <w:szCs w:val="21"/>
          <w:lang w:bidi="ar"/>
        </w:rPr>
        <w:t>的服务通知，</w:t>
      </w:r>
      <w:r>
        <w:rPr>
          <w:rFonts w:hint="eastAsia" w:ascii="宋体" w:hAnsi="宋体" w:eastAsia="宋体" w:cs="宋体"/>
          <w:sz w:val="21"/>
          <w:szCs w:val="21"/>
          <w:lang w:eastAsia="zh-CN" w:bidi="ar"/>
        </w:rPr>
        <w:t>乙方</w:t>
      </w:r>
      <w:r>
        <w:rPr>
          <w:rFonts w:hint="eastAsia" w:ascii="宋体" w:hAnsi="宋体" w:eastAsia="宋体" w:cs="宋体"/>
          <w:sz w:val="21"/>
          <w:szCs w:val="21"/>
          <w:lang w:bidi="ar"/>
        </w:rPr>
        <w:t>在接报后3小时内响应，12小时内到达现场，72小时内处理完毕。若在72小时内仍未能有效解决，</w:t>
      </w:r>
      <w:r>
        <w:rPr>
          <w:rFonts w:hint="eastAsia" w:ascii="宋体" w:hAnsi="宋体" w:eastAsia="宋体" w:cs="宋体"/>
          <w:sz w:val="21"/>
          <w:szCs w:val="21"/>
          <w:lang w:eastAsia="zh-CN" w:bidi="ar"/>
        </w:rPr>
        <w:t>乙方</w:t>
      </w:r>
      <w:r>
        <w:rPr>
          <w:rFonts w:hint="eastAsia" w:ascii="宋体" w:hAnsi="宋体" w:eastAsia="宋体" w:cs="宋体"/>
          <w:sz w:val="21"/>
          <w:szCs w:val="21"/>
          <w:lang w:bidi="ar"/>
        </w:rPr>
        <w:t>须免费提供同档次的货物予</w:t>
      </w:r>
      <w:r>
        <w:rPr>
          <w:rFonts w:hint="eastAsia" w:ascii="宋体" w:hAnsi="宋体" w:eastAsia="宋体" w:cs="宋体"/>
          <w:sz w:val="21"/>
          <w:szCs w:val="21"/>
          <w:lang w:eastAsia="zh-CN" w:bidi="ar"/>
        </w:rPr>
        <w:t>甲方</w:t>
      </w:r>
      <w:r>
        <w:rPr>
          <w:rFonts w:hint="eastAsia" w:ascii="宋体" w:hAnsi="宋体" w:eastAsia="宋体" w:cs="宋体"/>
          <w:sz w:val="21"/>
          <w:szCs w:val="21"/>
          <w:lang w:bidi="ar"/>
        </w:rPr>
        <w:t>临时使用。</w:t>
      </w:r>
    </w:p>
    <w:p w14:paraId="0B652FFC">
      <w:pPr>
        <w:pageBreakBefore w:val="0"/>
        <w:widowControl w:val="0"/>
        <w:numPr>
          <w:ilvl w:val="0"/>
          <w:numId w:val="28"/>
        </w:numPr>
        <w:kinsoku/>
        <w:wordWrap/>
        <w:overflowPunct/>
        <w:topLinePunct w:val="0"/>
        <w:bidi w:val="0"/>
        <w:snapToGrid w:val="0"/>
        <w:spacing w:line="360" w:lineRule="auto"/>
        <w:textAlignment w:val="auto"/>
        <w:outlineLvl w:val="9"/>
        <w:rPr>
          <w:rFonts w:hint="eastAsia" w:ascii="宋体" w:hAnsi="宋体" w:eastAsia="宋体" w:cs="宋体"/>
          <w:b/>
          <w:sz w:val="21"/>
          <w:szCs w:val="21"/>
        </w:rPr>
      </w:pPr>
      <w:r>
        <w:rPr>
          <w:rFonts w:hint="eastAsia" w:ascii="宋体" w:hAnsi="宋体" w:eastAsia="宋体" w:cs="宋体"/>
          <w:b/>
          <w:sz w:val="21"/>
          <w:szCs w:val="21"/>
          <w:lang w:bidi="ar"/>
        </w:rPr>
        <w:t>包装、保险及发运、保管要求</w:t>
      </w:r>
    </w:p>
    <w:p w14:paraId="68DE1D1B">
      <w:pPr>
        <w:pageBreakBefore w:val="0"/>
        <w:widowControl w:val="0"/>
        <w:numPr>
          <w:ilvl w:val="0"/>
          <w:numId w:val="30"/>
        </w:numPr>
        <w:kinsoku/>
        <w:wordWrap/>
        <w:overflowPunct/>
        <w:topLinePunct w:val="0"/>
        <w:bidi w:val="0"/>
        <w:snapToGrid w:val="0"/>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bidi="ar"/>
        </w:rPr>
        <w:t>货物为全新货物，包装必须是制造商原厂包装，其包装均应有良好的防湿、防锈、防潮、防雨、防腐及防碰撞的措施。凡由于包装不良造成的损失和由此产生的费用均由</w:t>
      </w:r>
      <w:r>
        <w:rPr>
          <w:rFonts w:hint="eastAsia" w:ascii="宋体" w:hAnsi="宋体" w:eastAsia="宋体" w:cs="宋体"/>
          <w:sz w:val="21"/>
          <w:szCs w:val="21"/>
          <w:lang w:eastAsia="zh-CN" w:bidi="ar"/>
        </w:rPr>
        <w:t>乙方</w:t>
      </w:r>
      <w:r>
        <w:rPr>
          <w:rFonts w:hint="eastAsia" w:ascii="宋体" w:hAnsi="宋体" w:eastAsia="宋体" w:cs="宋体"/>
          <w:sz w:val="21"/>
          <w:szCs w:val="21"/>
          <w:lang w:bidi="ar"/>
        </w:rPr>
        <w:t>承担。</w:t>
      </w:r>
    </w:p>
    <w:p w14:paraId="183BD58B">
      <w:pPr>
        <w:pageBreakBefore w:val="0"/>
        <w:widowControl w:val="0"/>
        <w:numPr>
          <w:ilvl w:val="0"/>
          <w:numId w:val="30"/>
        </w:numPr>
        <w:kinsoku/>
        <w:wordWrap/>
        <w:overflowPunct/>
        <w:topLinePunct w:val="0"/>
        <w:bidi w:val="0"/>
        <w:snapToGrid w:val="0"/>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bidi="ar"/>
        </w:rPr>
        <w:t>乙方</w:t>
      </w:r>
      <w:r>
        <w:rPr>
          <w:rFonts w:hint="eastAsia" w:ascii="宋体" w:hAnsi="宋体" w:eastAsia="宋体" w:cs="宋体"/>
          <w:sz w:val="21"/>
          <w:szCs w:val="21"/>
          <w:lang w:bidi="ar"/>
        </w:rPr>
        <w:t>负责将货物货到现场过程中的全部运输，包括装卸车、货物现场的搬运。</w:t>
      </w:r>
    </w:p>
    <w:p w14:paraId="6C9E6215">
      <w:pPr>
        <w:pageBreakBefore w:val="0"/>
        <w:widowControl w:val="0"/>
        <w:numPr>
          <w:ilvl w:val="0"/>
          <w:numId w:val="30"/>
        </w:numPr>
        <w:kinsoku/>
        <w:wordWrap/>
        <w:overflowPunct/>
        <w:topLinePunct w:val="0"/>
        <w:bidi w:val="0"/>
        <w:snapToGrid w:val="0"/>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bidi="ar"/>
        </w:rPr>
        <w:t>货物在现场的保管由</w:t>
      </w:r>
      <w:r>
        <w:rPr>
          <w:rFonts w:hint="eastAsia" w:ascii="宋体" w:hAnsi="宋体" w:eastAsia="宋体" w:cs="宋体"/>
          <w:sz w:val="21"/>
          <w:szCs w:val="21"/>
          <w:lang w:eastAsia="zh-CN" w:bidi="ar"/>
        </w:rPr>
        <w:t>乙方</w:t>
      </w:r>
      <w:r>
        <w:rPr>
          <w:rFonts w:hint="eastAsia" w:ascii="宋体" w:hAnsi="宋体" w:eastAsia="宋体" w:cs="宋体"/>
          <w:sz w:val="21"/>
          <w:szCs w:val="21"/>
          <w:lang w:bidi="ar"/>
        </w:rPr>
        <w:t>负责，直至项目安装、验收完毕。</w:t>
      </w:r>
    </w:p>
    <w:p w14:paraId="5D9B324D">
      <w:pPr>
        <w:pageBreakBefore w:val="0"/>
        <w:widowControl w:val="0"/>
        <w:numPr>
          <w:ilvl w:val="0"/>
          <w:numId w:val="30"/>
        </w:numPr>
        <w:kinsoku/>
        <w:wordWrap/>
        <w:overflowPunct/>
        <w:topLinePunct w:val="0"/>
        <w:bidi w:val="0"/>
        <w:snapToGrid w:val="0"/>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bidi="ar"/>
        </w:rPr>
        <w:t>货物在验收合格前的保险由</w:t>
      </w:r>
      <w:r>
        <w:rPr>
          <w:rFonts w:hint="eastAsia" w:ascii="宋体" w:hAnsi="宋体" w:eastAsia="宋体" w:cs="宋体"/>
          <w:sz w:val="21"/>
          <w:szCs w:val="21"/>
          <w:lang w:eastAsia="zh-CN" w:bidi="ar"/>
        </w:rPr>
        <w:t>乙方</w:t>
      </w:r>
      <w:r>
        <w:rPr>
          <w:rFonts w:hint="eastAsia" w:ascii="宋体" w:hAnsi="宋体" w:eastAsia="宋体" w:cs="宋体"/>
          <w:sz w:val="21"/>
          <w:szCs w:val="21"/>
          <w:lang w:bidi="ar"/>
        </w:rPr>
        <w:t>负责，</w:t>
      </w:r>
      <w:r>
        <w:rPr>
          <w:rFonts w:hint="eastAsia" w:ascii="宋体" w:hAnsi="宋体" w:eastAsia="宋体" w:cs="宋体"/>
          <w:sz w:val="21"/>
          <w:szCs w:val="21"/>
          <w:lang w:eastAsia="zh-CN" w:bidi="ar"/>
        </w:rPr>
        <w:t>乙方</w:t>
      </w:r>
      <w:r>
        <w:rPr>
          <w:rFonts w:hint="eastAsia" w:ascii="宋体" w:hAnsi="宋体" w:eastAsia="宋体" w:cs="宋体"/>
          <w:sz w:val="21"/>
          <w:szCs w:val="21"/>
          <w:lang w:bidi="ar"/>
        </w:rPr>
        <w:t>负责其派出的现场服务人员人身意外保险，服务期间，如发生工人伤亡事故或其它经济损失，全部责任及费用由</w:t>
      </w:r>
      <w:r>
        <w:rPr>
          <w:rFonts w:hint="eastAsia" w:ascii="宋体" w:hAnsi="宋体" w:eastAsia="宋体" w:cs="宋体"/>
          <w:sz w:val="21"/>
          <w:szCs w:val="21"/>
          <w:lang w:eastAsia="zh-CN" w:bidi="ar"/>
        </w:rPr>
        <w:t>乙方</w:t>
      </w:r>
      <w:r>
        <w:rPr>
          <w:rFonts w:hint="eastAsia" w:ascii="宋体" w:hAnsi="宋体" w:eastAsia="宋体" w:cs="宋体"/>
          <w:sz w:val="21"/>
          <w:szCs w:val="21"/>
          <w:lang w:bidi="ar"/>
        </w:rPr>
        <w:t>负责。</w:t>
      </w:r>
    </w:p>
    <w:p w14:paraId="3E1C9FB8">
      <w:pPr>
        <w:pageBreakBefore w:val="0"/>
        <w:widowControl w:val="0"/>
        <w:numPr>
          <w:ilvl w:val="0"/>
          <w:numId w:val="30"/>
        </w:numPr>
        <w:kinsoku/>
        <w:wordWrap/>
        <w:overflowPunct/>
        <w:topLinePunct w:val="0"/>
        <w:bidi w:val="0"/>
        <w:snapToGrid w:val="0"/>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bidi="ar"/>
        </w:rPr>
        <w:t>货物至</w:t>
      </w:r>
      <w:r>
        <w:rPr>
          <w:rFonts w:hint="eastAsia" w:ascii="宋体" w:hAnsi="宋体" w:eastAsia="宋体" w:cs="宋体"/>
          <w:sz w:val="21"/>
          <w:szCs w:val="21"/>
          <w:lang w:eastAsia="zh-CN" w:bidi="ar"/>
        </w:rPr>
        <w:t>甲方</w:t>
      </w:r>
      <w:r>
        <w:rPr>
          <w:rFonts w:hint="eastAsia" w:ascii="宋体" w:hAnsi="宋体" w:eastAsia="宋体" w:cs="宋体"/>
          <w:sz w:val="21"/>
          <w:szCs w:val="21"/>
          <w:lang w:bidi="ar"/>
        </w:rPr>
        <w:t>指定的使用现场的包装、保险及发运等环节和费用均由</w:t>
      </w:r>
      <w:r>
        <w:rPr>
          <w:rFonts w:hint="eastAsia" w:ascii="宋体" w:hAnsi="宋体" w:eastAsia="宋体" w:cs="宋体"/>
          <w:sz w:val="21"/>
          <w:szCs w:val="21"/>
          <w:lang w:eastAsia="zh-CN" w:bidi="ar"/>
        </w:rPr>
        <w:t>乙方</w:t>
      </w:r>
      <w:r>
        <w:rPr>
          <w:rFonts w:hint="eastAsia" w:ascii="宋体" w:hAnsi="宋体" w:eastAsia="宋体" w:cs="宋体"/>
          <w:sz w:val="21"/>
          <w:szCs w:val="21"/>
          <w:lang w:bidi="ar"/>
        </w:rPr>
        <w:t>负责。</w:t>
      </w:r>
    </w:p>
    <w:p w14:paraId="3B7DBCC3">
      <w:pPr>
        <w:pageBreakBefore w:val="0"/>
        <w:widowControl w:val="0"/>
        <w:numPr>
          <w:ilvl w:val="0"/>
          <w:numId w:val="28"/>
        </w:numPr>
        <w:kinsoku/>
        <w:wordWrap/>
        <w:overflowPunct/>
        <w:topLinePunct w:val="0"/>
        <w:bidi w:val="0"/>
        <w:snapToGrid w:val="0"/>
        <w:spacing w:line="360" w:lineRule="auto"/>
        <w:textAlignment w:val="auto"/>
        <w:outlineLvl w:val="9"/>
        <w:rPr>
          <w:rFonts w:hint="eastAsia" w:ascii="宋体" w:hAnsi="宋体" w:eastAsia="宋体" w:cs="宋体"/>
          <w:b/>
          <w:sz w:val="21"/>
          <w:szCs w:val="21"/>
        </w:rPr>
      </w:pPr>
      <w:r>
        <w:rPr>
          <w:rFonts w:hint="eastAsia" w:ascii="宋体" w:hAnsi="宋体" w:eastAsia="宋体" w:cs="宋体"/>
          <w:b/>
          <w:sz w:val="21"/>
          <w:szCs w:val="21"/>
          <w:lang w:bidi="ar"/>
        </w:rPr>
        <w:t>安装与验收</w:t>
      </w:r>
    </w:p>
    <w:p w14:paraId="5540519F">
      <w:pPr>
        <w:pageBreakBefore w:val="0"/>
        <w:widowControl w:val="0"/>
        <w:numPr>
          <w:ilvl w:val="0"/>
          <w:numId w:val="31"/>
        </w:numPr>
        <w:kinsoku/>
        <w:wordWrap/>
        <w:overflowPunct/>
        <w:topLinePunct w:val="0"/>
        <w:bidi w:val="0"/>
        <w:snapToGrid w:val="0"/>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bidi="ar"/>
        </w:rPr>
        <w:t>乙方</w:t>
      </w:r>
      <w:r>
        <w:rPr>
          <w:rFonts w:hint="eastAsia" w:ascii="宋体" w:hAnsi="宋体" w:eastAsia="宋体" w:cs="宋体"/>
          <w:sz w:val="21"/>
          <w:szCs w:val="21"/>
          <w:lang w:bidi="ar"/>
        </w:rPr>
        <w:t>必须依照采购文件的要求和响应文件的承诺，将货物安装至正常使用的最佳状态。</w:t>
      </w:r>
    </w:p>
    <w:p w14:paraId="2B12D9B8">
      <w:pPr>
        <w:pageBreakBefore w:val="0"/>
        <w:widowControl w:val="0"/>
        <w:numPr>
          <w:ilvl w:val="0"/>
          <w:numId w:val="31"/>
        </w:numPr>
        <w:kinsoku/>
        <w:wordWrap/>
        <w:overflowPunct/>
        <w:topLinePunct w:val="0"/>
        <w:bidi w:val="0"/>
        <w:snapToGrid w:val="0"/>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bidi="ar"/>
        </w:rPr>
        <w:t>货物若有国家标准按照国家标准验收，若无国家标准按行业标准验收，为原制造商制造的全新产品，整体无污染，无侵权行为、表面无划损、无任何缺陷隐患，在中国境内可依常规安全合法使用。</w:t>
      </w:r>
    </w:p>
    <w:p w14:paraId="67511624">
      <w:pPr>
        <w:pageBreakBefore w:val="0"/>
        <w:widowControl w:val="0"/>
        <w:numPr>
          <w:ilvl w:val="0"/>
          <w:numId w:val="31"/>
        </w:numPr>
        <w:kinsoku/>
        <w:wordWrap/>
        <w:overflowPunct/>
        <w:topLinePunct w:val="0"/>
        <w:bidi w:val="0"/>
        <w:snapToGrid w:val="0"/>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bidi="ar"/>
        </w:rPr>
        <w:t>货物为原厂商未启封全新包装，具有出厂合格证，序列号、包装箱号与出厂批号一致，并可追索查阅。所有随货物的附件必须齐全。</w:t>
      </w:r>
    </w:p>
    <w:p w14:paraId="0DFAB5C9">
      <w:pPr>
        <w:pageBreakBefore w:val="0"/>
        <w:widowControl w:val="0"/>
        <w:numPr>
          <w:ilvl w:val="0"/>
          <w:numId w:val="31"/>
        </w:numPr>
        <w:kinsoku/>
        <w:wordWrap/>
        <w:overflowPunct/>
        <w:topLinePunct w:val="0"/>
        <w:bidi w:val="0"/>
        <w:snapToGrid w:val="0"/>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bidi="ar"/>
        </w:rPr>
        <w:t>乙方</w:t>
      </w:r>
      <w:r>
        <w:rPr>
          <w:rFonts w:hint="eastAsia" w:ascii="宋体" w:hAnsi="宋体" w:eastAsia="宋体" w:cs="宋体"/>
          <w:sz w:val="21"/>
          <w:szCs w:val="21"/>
          <w:lang w:bidi="ar"/>
        </w:rPr>
        <w:t>应将货物的用户手册、保修手册、有关单证资料及配备件、随机工具等交付给</w:t>
      </w:r>
      <w:r>
        <w:rPr>
          <w:rFonts w:hint="eastAsia" w:ascii="宋体" w:hAnsi="宋体" w:eastAsia="宋体" w:cs="宋体"/>
          <w:sz w:val="21"/>
          <w:szCs w:val="21"/>
          <w:lang w:eastAsia="zh-CN" w:bidi="ar"/>
        </w:rPr>
        <w:t>甲方</w:t>
      </w:r>
      <w:r>
        <w:rPr>
          <w:rFonts w:hint="eastAsia" w:ascii="宋体" w:hAnsi="宋体" w:eastAsia="宋体" w:cs="宋体"/>
          <w:sz w:val="21"/>
          <w:szCs w:val="21"/>
          <w:lang w:bidi="ar"/>
        </w:rPr>
        <w:t>，使用操作及安全须知等重要资料应附有中文说明。</w:t>
      </w:r>
    </w:p>
    <w:p w14:paraId="461294C6">
      <w:pPr>
        <w:pageBreakBefore w:val="0"/>
        <w:widowControl w:val="0"/>
        <w:numPr>
          <w:ilvl w:val="0"/>
          <w:numId w:val="31"/>
        </w:numPr>
        <w:kinsoku/>
        <w:wordWrap/>
        <w:overflowPunct/>
        <w:topLinePunct w:val="0"/>
        <w:bidi w:val="0"/>
        <w:snapToGrid w:val="0"/>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bidi="ar"/>
        </w:rPr>
        <w:t>甲方</w:t>
      </w:r>
      <w:r>
        <w:rPr>
          <w:rFonts w:hint="eastAsia" w:ascii="宋体" w:hAnsi="宋体" w:eastAsia="宋体" w:cs="宋体"/>
          <w:sz w:val="21"/>
          <w:szCs w:val="21"/>
          <w:lang w:bidi="ar"/>
        </w:rPr>
        <w:t>组成验收小组按国家相关行业有关规定、规范进行验收，将采取随机破开、钻孔等方式对货物进行验收，必要时邀请相关的专业人员或机构参与验收。验收时，因货物质量问题发生争议时，由</w:t>
      </w:r>
      <w:r>
        <w:rPr>
          <w:rFonts w:hint="eastAsia" w:ascii="宋体" w:hAnsi="宋体" w:eastAsia="宋体" w:cs="宋体"/>
          <w:sz w:val="21"/>
          <w:szCs w:val="21"/>
          <w:lang w:eastAsia="zh-CN" w:bidi="ar"/>
        </w:rPr>
        <w:t>乙方</w:t>
      </w:r>
      <w:r>
        <w:rPr>
          <w:rFonts w:hint="eastAsia" w:ascii="宋体" w:hAnsi="宋体" w:eastAsia="宋体" w:cs="宋体"/>
          <w:sz w:val="21"/>
          <w:szCs w:val="21"/>
          <w:lang w:bidi="ar"/>
        </w:rPr>
        <w:t>所在地质量技术监督部门鉴定，鉴定费由</w:t>
      </w:r>
      <w:r>
        <w:rPr>
          <w:rFonts w:hint="eastAsia" w:ascii="宋体" w:hAnsi="宋体" w:eastAsia="宋体" w:cs="宋体"/>
          <w:sz w:val="21"/>
          <w:szCs w:val="21"/>
          <w:lang w:eastAsia="zh-CN" w:bidi="ar"/>
        </w:rPr>
        <w:t>乙方</w:t>
      </w:r>
      <w:r>
        <w:rPr>
          <w:rFonts w:hint="eastAsia" w:ascii="宋体" w:hAnsi="宋体" w:eastAsia="宋体" w:cs="宋体"/>
          <w:sz w:val="21"/>
          <w:szCs w:val="21"/>
          <w:lang w:bidi="ar"/>
        </w:rPr>
        <w:t>承担。如验收不合格，由</w:t>
      </w:r>
      <w:r>
        <w:rPr>
          <w:rFonts w:hint="eastAsia" w:ascii="宋体" w:hAnsi="宋体" w:eastAsia="宋体" w:cs="宋体"/>
          <w:sz w:val="21"/>
          <w:szCs w:val="21"/>
          <w:lang w:eastAsia="zh-CN" w:bidi="ar"/>
        </w:rPr>
        <w:t>乙方</w:t>
      </w:r>
      <w:r>
        <w:rPr>
          <w:rFonts w:hint="eastAsia" w:ascii="宋体" w:hAnsi="宋体" w:eastAsia="宋体" w:cs="宋体"/>
          <w:sz w:val="21"/>
          <w:szCs w:val="21"/>
          <w:lang w:bidi="ar"/>
        </w:rPr>
        <w:t>限期整改，如再次验收不合格，</w:t>
      </w:r>
      <w:r>
        <w:rPr>
          <w:rFonts w:hint="eastAsia" w:ascii="宋体" w:hAnsi="宋体" w:eastAsia="宋体" w:cs="宋体"/>
          <w:sz w:val="21"/>
          <w:szCs w:val="21"/>
          <w:lang w:eastAsia="zh-CN" w:bidi="ar"/>
        </w:rPr>
        <w:t>甲方</w:t>
      </w:r>
      <w:r>
        <w:rPr>
          <w:rFonts w:hint="eastAsia" w:ascii="宋体" w:hAnsi="宋体" w:eastAsia="宋体" w:cs="宋体"/>
          <w:sz w:val="21"/>
          <w:szCs w:val="21"/>
          <w:lang w:bidi="ar"/>
        </w:rPr>
        <w:t>有权利单方面解除合同，并由</w:t>
      </w:r>
      <w:r>
        <w:rPr>
          <w:rFonts w:hint="eastAsia" w:ascii="宋体" w:hAnsi="宋体" w:eastAsia="宋体" w:cs="宋体"/>
          <w:sz w:val="21"/>
          <w:szCs w:val="21"/>
          <w:lang w:eastAsia="zh-CN" w:bidi="ar"/>
        </w:rPr>
        <w:t>乙方</w:t>
      </w:r>
      <w:r>
        <w:rPr>
          <w:rFonts w:hint="eastAsia" w:ascii="宋体" w:hAnsi="宋体" w:eastAsia="宋体" w:cs="宋体"/>
          <w:sz w:val="21"/>
          <w:szCs w:val="21"/>
          <w:lang w:bidi="ar"/>
        </w:rPr>
        <w:t>赔付</w:t>
      </w:r>
      <w:r>
        <w:rPr>
          <w:rFonts w:hint="eastAsia" w:ascii="宋体" w:hAnsi="宋体" w:eastAsia="宋体" w:cs="宋体"/>
          <w:sz w:val="21"/>
          <w:szCs w:val="21"/>
          <w:lang w:eastAsia="zh-CN" w:bidi="ar"/>
        </w:rPr>
        <w:t>甲方</w:t>
      </w:r>
      <w:r>
        <w:rPr>
          <w:rFonts w:hint="eastAsia" w:ascii="宋体" w:hAnsi="宋体" w:eastAsia="宋体" w:cs="宋体"/>
          <w:sz w:val="21"/>
          <w:szCs w:val="21"/>
          <w:lang w:bidi="ar"/>
        </w:rPr>
        <w:t>一切损失。</w:t>
      </w:r>
    </w:p>
    <w:p w14:paraId="702F0E34">
      <w:pPr>
        <w:pageBreakBefore w:val="0"/>
        <w:widowControl w:val="0"/>
        <w:numPr>
          <w:ilvl w:val="0"/>
          <w:numId w:val="28"/>
        </w:numPr>
        <w:kinsoku/>
        <w:wordWrap/>
        <w:overflowPunct/>
        <w:topLinePunct w:val="0"/>
        <w:bidi w:val="0"/>
        <w:snapToGrid w:val="0"/>
        <w:spacing w:line="360" w:lineRule="auto"/>
        <w:textAlignment w:val="auto"/>
        <w:outlineLvl w:val="9"/>
        <w:rPr>
          <w:rFonts w:hint="eastAsia" w:ascii="宋体" w:hAnsi="宋体" w:eastAsia="宋体" w:cs="宋体"/>
          <w:bCs/>
          <w:sz w:val="21"/>
          <w:szCs w:val="21"/>
          <w:lang w:bidi="ar"/>
        </w:rPr>
      </w:pPr>
      <w:r>
        <w:rPr>
          <w:rFonts w:hint="eastAsia" w:ascii="宋体" w:hAnsi="宋体" w:eastAsia="宋体" w:cs="宋体"/>
          <w:bCs/>
          <w:sz w:val="21"/>
          <w:szCs w:val="21"/>
          <w:lang w:eastAsia="zh-CN" w:bidi="ar"/>
        </w:rPr>
        <w:t>乙方</w:t>
      </w:r>
      <w:r>
        <w:rPr>
          <w:rFonts w:hint="eastAsia" w:ascii="宋体" w:hAnsi="宋体" w:eastAsia="宋体" w:cs="宋体"/>
          <w:bCs/>
          <w:sz w:val="21"/>
          <w:szCs w:val="21"/>
          <w:lang w:bidi="ar"/>
        </w:rPr>
        <w:t>应提供友好和专业的服务态度，负责人与</w:t>
      </w:r>
      <w:r>
        <w:rPr>
          <w:rFonts w:hint="eastAsia" w:ascii="宋体" w:hAnsi="宋体" w:eastAsia="宋体" w:cs="宋体"/>
          <w:bCs/>
          <w:sz w:val="21"/>
          <w:szCs w:val="21"/>
          <w:lang w:eastAsia="zh-CN" w:bidi="ar"/>
        </w:rPr>
        <w:t>甲方</w:t>
      </w:r>
      <w:r>
        <w:rPr>
          <w:rFonts w:hint="eastAsia" w:ascii="宋体" w:hAnsi="宋体" w:eastAsia="宋体" w:cs="宋体"/>
          <w:bCs/>
          <w:sz w:val="21"/>
          <w:szCs w:val="21"/>
          <w:lang w:bidi="ar"/>
        </w:rPr>
        <w:t>对需求和要求进行沟通，及时回答并解决</w:t>
      </w:r>
      <w:r>
        <w:rPr>
          <w:rFonts w:hint="eastAsia" w:ascii="宋体" w:hAnsi="宋体" w:eastAsia="宋体" w:cs="宋体"/>
          <w:bCs/>
          <w:sz w:val="21"/>
          <w:szCs w:val="21"/>
          <w:lang w:eastAsia="zh-CN" w:bidi="ar"/>
        </w:rPr>
        <w:t>甲方</w:t>
      </w:r>
      <w:r>
        <w:rPr>
          <w:rFonts w:hint="eastAsia" w:ascii="宋体" w:hAnsi="宋体" w:eastAsia="宋体" w:cs="宋体"/>
          <w:bCs/>
          <w:sz w:val="21"/>
          <w:szCs w:val="21"/>
          <w:lang w:bidi="ar"/>
        </w:rPr>
        <w:t>的问题。</w:t>
      </w:r>
    </w:p>
    <w:p w14:paraId="369B39F9">
      <w:pPr>
        <w:pageBreakBefore w:val="0"/>
        <w:widowControl w:val="0"/>
        <w:numPr>
          <w:ilvl w:val="0"/>
          <w:numId w:val="28"/>
        </w:numPr>
        <w:kinsoku/>
        <w:wordWrap/>
        <w:overflowPunct/>
        <w:topLinePunct w:val="0"/>
        <w:bidi w:val="0"/>
        <w:snapToGrid w:val="0"/>
        <w:spacing w:line="360" w:lineRule="auto"/>
        <w:textAlignment w:val="auto"/>
        <w:outlineLvl w:val="9"/>
        <w:rPr>
          <w:rFonts w:hint="eastAsia" w:ascii="宋体" w:hAnsi="宋体" w:eastAsia="宋体" w:cs="宋体"/>
          <w:bCs/>
          <w:sz w:val="21"/>
          <w:szCs w:val="21"/>
          <w:lang w:bidi="ar"/>
        </w:rPr>
      </w:pPr>
      <w:r>
        <w:rPr>
          <w:rFonts w:hint="eastAsia" w:ascii="宋体" w:hAnsi="宋体" w:eastAsia="宋体" w:cs="宋体"/>
          <w:bCs/>
          <w:sz w:val="21"/>
          <w:szCs w:val="21"/>
          <w:lang w:eastAsia="zh-CN" w:bidi="ar"/>
        </w:rPr>
        <w:t>乙方</w:t>
      </w:r>
      <w:r>
        <w:rPr>
          <w:rFonts w:hint="eastAsia" w:ascii="宋体" w:hAnsi="宋体" w:eastAsia="宋体" w:cs="宋体"/>
          <w:bCs/>
          <w:sz w:val="21"/>
          <w:szCs w:val="21"/>
          <w:lang w:bidi="ar"/>
        </w:rPr>
        <w:t>应遵守</w:t>
      </w:r>
      <w:r>
        <w:rPr>
          <w:rFonts w:hint="eastAsia" w:ascii="宋体" w:hAnsi="宋体" w:eastAsia="宋体" w:cs="宋体"/>
          <w:bCs/>
          <w:sz w:val="21"/>
          <w:szCs w:val="21"/>
          <w:lang w:eastAsia="zh-CN" w:bidi="ar"/>
        </w:rPr>
        <w:t>甲方</w:t>
      </w:r>
      <w:r>
        <w:rPr>
          <w:rFonts w:hint="eastAsia" w:ascii="宋体" w:hAnsi="宋体" w:eastAsia="宋体" w:cs="宋体"/>
          <w:bCs/>
          <w:sz w:val="21"/>
          <w:szCs w:val="21"/>
          <w:lang w:bidi="ar"/>
        </w:rPr>
        <w:t>的管理制度及保密制度，不得泄露</w:t>
      </w:r>
      <w:r>
        <w:rPr>
          <w:rFonts w:hint="eastAsia" w:ascii="宋体" w:hAnsi="宋体" w:eastAsia="宋体" w:cs="宋体"/>
          <w:bCs/>
          <w:sz w:val="21"/>
          <w:szCs w:val="21"/>
          <w:lang w:eastAsia="zh-CN" w:bidi="ar"/>
        </w:rPr>
        <w:t>甲方</w:t>
      </w:r>
      <w:r>
        <w:rPr>
          <w:rFonts w:hint="eastAsia" w:ascii="宋体" w:hAnsi="宋体" w:eastAsia="宋体" w:cs="宋体"/>
          <w:bCs/>
          <w:sz w:val="21"/>
          <w:szCs w:val="21"/>
          <w:lang w:bidi="ar"/>
        </w:rPr>
        <w:t>的相关情况。</w:t>
      </w:r>
    </w:p>
    <w:p w14:paraId="0CDC53E5">
      <w:pPr>
        <w:pageBreakBefore w:val="0"/>
        <w:widowControl w:val="0"/>
        <w:numPr>
          <w:ilvl w:val="0"/>
          <w:numId w:val="27"/>
        </w:numPr>
        <w:tabs>
          <w:tab w:val="left" w:pos="1259"/>
        </w:tabs>
        <w:kinsoku/>
        <w:wordWrap/>
        <w:overflowPunct/>
        <w:topLinePunct w:val="0"/>
        <w:bidi w:val="0"/>
        <w:spacing w:before="0" w:after="0" w:line="360" w:lineRule="auto"/>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付款方式</w:t>
      </w:r>
    </w:p>
    <w:p w14:paraId="5C52A2A9">
      <w:pPr>
        <w:pageBreakBefore w:val="0"/>
        <w:widowControl w:val="0"/>
        <w:kinsoku/>
        <w:wordWrap/>
        <w:overflowPunct/>
        <w:topLinePunct w:val="0"/>
        <w:bidi w:val="0"/>
        <w:snapToGrid w:val="0"/>
        <w:spacing w:line="360" w:lineRule="auto"/>
        <w:ind w:firstLine="420" w:firstLineChars="200"/>
        <w:textAlignment w:val="auto"/>
        <w:outlineLvl w:val="9"/>
        <w:rPr>
          <w:rFonts w:hint="eastAsia" w:ascii="宋体" w:hAnsi="宋体" w:eastAsia="宋体" w:cs="宋体"/>
          <w:b/>
          <w:sz w:val="21"/>
          <w:szCs w:val="21"/>
        </w:rPr>
      </w:pPr>
      <w:r>
        <w:rPr>
          <w:rFonts w:hint="eastAsia" w:ascii="宋体" w:hAnsi="宋体" w:eastAsia="宋体" w:cs="宋体"/>
          <w:sz w:val="21"/>
          <w:szCs w:val="21"/>
          <w:lang w:bidi="ar"/>
        </w:rPr>
        <w:t>货物送达</w:t>
      </w:r>
      <w:r>
        <w:rPr>
          <w:rFonts w:hint="eastAsia" w:ascii="宋体" w:hAnsi="宋体" w:eastAsia="宋体" w:cs="宋体"/>
          <w:sz w:val="21"/>
          <w:szCs w:val="21"/>
          <w:lang w:eastAsia="zh-CN" w:bidi="ar"/>
        </w:rPr>
        <w:t>甲方</w:t>
      </w:r>
      <w:r>
        <w:rPr>
          <w:rFonts w:hint="eastAsia" w:ascii="宋体" w:hAnsi="宋体" w:eastAsia="宋体" w:cs="宋体"/>
          <w:sz w:val="21"/>
          <w:szCs w:val="21"/>
          <w:lang w:bidi="ar"/>
        </w:rPr>
        <w:t>指定地点并完成安装，经</w:t>
      </w:r>
      <w:r>
        <w:rPr>
          <w:rFonts w:hint="eastAsia" w:ascii="宋体" w:hAnsi="宋体" w:eastAsia="宋体" w:cs="宋体"/>
          <w:sz w:val="21"/>
          <w:szCs w:val="21"/>
          <w:lang w:eastAsia="zh-CN" w:bidi="ar"/>
        </w:rPr>
        <w:t>甲方</w:t>
      </w:r>
      <w:r>
        <w:rPr>
          <w:rFonts w:hint="eastAsia" w:ascii="宋体" w:hAnsi="宋体" w:eastAsia="宋体" w:cs="宋体"/>
          <w:sz w:val="21"/>
          <w:szCs w:val="21"/>
          <w:lang w:bidi="ar"/>
        </w:rPr>
        <w:t>验收小组验收合格后，</w:t>
      </w:r>
      <w:r>
        <w:rPr>
          <w:rFonts w:hint="eastAsia" w:ascii="宋体" w:hAnsi="宋体" w:eastAsia="宋体" w:cs="宋体"/>
          <w:sz w:val="21"/>
          <w:szCs w:val="21"/>
          <w:lang w:eastAsia="zh-CN" w:bidi="ar"/>
        </w:rPr>
        <w:t>乙方</w:t>
      </w:r>
      <w:r>
        <w:rPr>
          <w:rFonts w:hint="eastAsia" w:ascii="宋体" w:hAnsi="宋体" w:eastAsia="宋体" w:cs="宋体"/>
          <w:sz w:val="21"/>
          <w:szCs w:val="21"/>
          <w:lang w:bidi="ar"/>
        </w:rPr>
        <w:t>开具合同价款等额的</w:t>
      </w:r>
      <w:r>
        <w:rPr>
          <w:rFonts w:hint="eastAsia" w:ascii="宋体" w:hAnsi="宋体" w:eastAsia="宋体" w:cs="宋体"/>
          <w:b/>
          <w:bCs/>
          <w:sz w:val="21"/>
          <w:szCs w:val="21"/>
          <w:lang w:bidi="ar"/>
        </w:rPr>
        <w:t>增值税专用发票</w:t>
      </w:r>
      <w:r>
        <w:rPr>
          <w:rFonts w:hint="eastAsia" w:ascii="宋体" w:hAnsi="宋体" w:eastAsia="宋体" w:cs="宋体"/>
          <w:sz w:val="21"/>
          <w:szCs w:val="21"/>
          <w:lang w:bidi="ar"/>
        </w:rPr>
        <w:t>，</w:t>
      </w:r>
      <w:r>
        <w:rPr>
          <w:rFonts w:hint="eastAsia" w:ascii="宋体" w:hAnsi="宋体" w:eastAsia="宋体" w:cs="宋体"/>
          <w:sz w:val="21"/>
          <w:szCs w:val="21"/>
          <w:lang w:eastAsia="zh-CN" w:bidi="ar"/>
        </w:rPr>
        <w:t>甲方</w:t>
      </w:r>
      <w:r>
        <w:rPr>
          <w:rFonts w:hint="eastAsia" w:ascii="宋体" w:hAnsi="宋体" w:eastAsia="宋体" w:cs="宋体"/>
          <w:sz w:val="21"/>
          <w:szCs w:val="21"/>
          <w:lang w:bidi="ar"/>
        </w:rPr>
        <w:t>在收到发票后30个工作日内向</w:t>
      </w:r>
      <w:r>
        <w:rPr>
          <w:rFonts w:hint="eastAsia" w:ascii="宋体" w:hAnsi="宋体" w:eastAsia="宋体" w:cs="宋体"/>
          <w:sz w:val="21"/>
          <w:szCs w:val="21"/>
          <w:lang w:eastAsia="zh-CN" w:bidi="ar"/>
        </w:rPr>
        <w:t>乙方</w:t>
      </w:r>
      <w:r>
        <w:rPr>
          <w:rFonts w:hint="eastAsia" w:ascii="宋体" w:hAnsi="宋体" w:eastAsia="宋体" w:cs="宋体"/>
          <w:sz w:val="21"/>
          <w:szCs w:val="21"/>
          <w:lang w:bidi="ar"/>
        </w:rPr>
        <w:t>支付合同价款。</w:t>
      </w:r>
    </w:p>
    <w:p w14:paraId="4DE4440A">
      <w:pPr>
        <w:pageBreakBefore w:val="0"/>
        <w:widowControl w:val="0"/>
        <w:numPr>
          <w:ilvl w:val="0"/>
          <w:numId w:val="27"/>
        </w:numPr>
        <w:tabs>
          <w:tab w:val="left" w:pos="1259"/>
        </w:tabs>
        <w:kinsoku/>
        <w:wordWrap/>
        <w:overflowPunct/>
        <w:topLinePunct w:val="0"/>
        <w:bidi w:val="0"/>
        <w:spacing w:before="0" w:after="0" w:line="360" w:lineRule="auto"/>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其他说明</w:t>
      </w:r>
    </w:p>
    <w:p w14:paraId="566C05B4">
      <w:pPr>
        <w:pageBreakBefore w:val="0"/>
        <w:widowControl w:val="0"/>
        <w:kinsoku/>
        <w:wordWrap/>
        <w:overflowPunct/>
        <w:topLinePunct w:val="0"/>
        <w:bidi w:val="0"/>
        <w:snapToGrid w:val="0"/>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bidi="ar"/>
        </w:rPr>
        <w:t>本项目</w:t>
      </w:r>
      <w:r>
        <w:rPr>
          <w:rFonts w:hint="eastAsia" w:ascii="宋体" w:hAnsi="宋体" w:eastAsia="宋体" w:cs="宋体"/>
          <w:sz w:val="21"/>
          <w:szCs w:val="21"/>
          <w:lang w:eastAsia="zh-CN" w:bidi="ar"/>
        </w:rPr>
        <w:t>乙方</w:t>
      </w:r>
      <w:r>
        <w:rPr>
          <w:rFonts w:hint="eastAsia" w:ascii="宋体" w:hAnsi="宋体" w:eastAsia="宋体" w:cs="宋体"/>
          <w:sz w:val="21"/>
          <w:szCs w:val="21"/>
          <w:lang w:bidi="ar"/>
        </w:rPr>
        <w:t>报价包含货物、人工、运输、安装、搬运、调试、质保、税费等与本项目相关的一切费用。</w:t>
      </w:r>
    </w:p>
    <w:p w14:paraId="7251A262">
      <w:pPr>
        <w:pageBreakBefore w:val="0"/>
        <w:widowControl w:val="0"/>
        <w:numPr>
          <w:ilvl w:val="0"/>
          <w:numId w:val="27"/>
        </w:numPr>
        <w:tabs>
          <w:tab w:val="left" w:pos="1259"/>
        </w:tabs>
        <w:kinsoku/>
        <w:wordWrap/>
        <w:overflowPunct/>
        <w:topLinePunct w:val="0"/>
        <w:bidi w:val="0"/>
        <w:spacing w:before="0" w:after="0" w:line="360" w:lineRule="auto"/>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履约保证金</w:t>
      </w:r>
    </w:p>
    <w:p w14:paraId="5706D7EB">
      <w:pPr>
        <w:pageBreakBefore w:val="0"/>
        <w:widowControl w:val="0"/>
        <w:numPr>
          <w:ilvl w:val="-1"/>
          <w:numId w:val="0"/>
        </w:numPr>
        <w:kinsoku/>
        <w:wordWrap/>
        <w:overflowPunct/>
        <w:topLinePunct w:val="0"/>
        <w:bidi w:val="0"/>
        <w:spacing w:line="360" w:lineRule="auto"/>
        <w:ind w:left="0" w:firstLine="420" w:firstLineChars="200"/>
        <w:textAlignment w:val="auto"/>
        <w:outlineLvl w:val="9"/>
        <w:rPr>
          <w:rFonts w:hint="eastAsia" w:ascii="宋体" w:hAnsi="宋体" w:eastAsia="宋体" w:cs="宋体"/>
          <w:sz w:val="21"/>
          <w:szCs w:val="21"/>
          <w:lang w:bidi="ar"/>
        </w:rPr>
      </w:pPr>
      <w:r>
        <w:rPr>
          <w:rFonts w:hint="eastAsia" w:ascii="宋体" w:hAnsi="宋体" w:eastAsia="宋体" w:cs="宋体"/>
          <w:sz w:val="21"/>
          <w:szCs w:val="21"/>
          <w:lang w:bidi="ar"/>
        </w:rPr>
        <w:t>合同签订后的15个工作日内供应商向采购人交纳合同总金额的5%作为履约保证金；履约保证金在货物验收</w:t>
      </w:r>
      <w:r>
        <w:rPr>
          <w:rFonts w:hint="eastAsia" w:ascii="宋体" w:hAnsi="宋体" w:eastAsia="宋体" w:cs="宋体"/>
          <w:sz w:val="21"/>
          <w:szCs w:val="21"/>
          <w:lang w:val="en-US" w:eastAsia="zh-CN" w:bidi="ar"/>
        </w:rPr>
        <w:t>合格</w:t>
      </w:r>
      <w:r>
        <w:rPr>
          <w:rFonts w:hint="eastAsia" w:ascii="宋体" w:hAnsi="宋体" w:eastAsia="宋体" w:cs="宋体"/>
          <w:sz w:val="21"/>
          <w:szCs w:val="21"/>
          <w:lang w:bidi="ar"/>
        </w:rPr>
        <w:t>后自动转为项目质保金，质保期内无出现质量问题且</w:t>
      </w:r>
      <w:r>
        <w:rPr>
          <w:rFonts w:hint="eastAsia" w:ascii="宋体" w:hAnsi="宋体" w:eastAsia="宋体" w:cs="宋体"/>
          <w:sz w:val="21"/>
          <w:szCs w:val="21"/>
          <w:lang w:val="en-US" w:eastAsia="zh-CN" w:bidi="ar"/>
        </w:rPr>
        <w:t>2</w:t>
      </w:r>
      <w:r>
        <w:rPr>
          <w:rFonts w:hint="eastAsia" w:ascii="宋体" w:hAnsi="宋体" w:eastAsia="宋体" w:cs="宋体"/>
          <w:sz w:val="21"/>
          <w:szCs w:val="21"/>
          <w:lang w:bidi="ar"/>
        </w:rPr>
        <w:t>年质保期满由供应商提出，采购人收到申请后30日内将质保金一次性无息退回供应商。成交人拒绝按此要求提供履约保证金的，采购人有权取消其成交资格。</w:t>
      </w:r>
    </w:p>
    <w:p w14:paraId="53CA08B7">
      <w:pPr>
        <w:pageBreakBefore w:val="0"/>
        <w:widowControl w:val="0"/>
        <w:numPr>
          <w:ilvl w:val="-1"/>
          <w:numId w:val="0"/>
        </w:numPr>
        <w:kinsoku/>
        <w:wordWrap/>
        <w:overflowPunct/>
        <w:topLinePunct w:val="0"/>
        <w:bidi w:val="0"/>
        <w:spacing w:line="360" w:lineRule="auto"/>
        <w:ind w:left="0" w:firstLine="420" w:firstLineChars="200"/>
        <w:textAlignment w:val="auto"/>
        <w:outlineLvl w:val="9"/>
        <w:rPr>
          <w:rFonts w:hint="eastAsia" w:ascii="宋体" w:hAnsi="宋体" w:eastAsia="宋体" w:cs="宋体"/>
          <w:sz w:val="21"/>
          <w:szCs w:val="21"/>
          <w:lang w:bidi="ar"/>
        </w:rPr>
      </w:pPr>
      <w:r>
        <w:rPr>
          <w:rFonts w:hint="eastAsia" w:ascii="宋体" w:hAnsi="宋体" w:eastAsia="宋体" w:cs="宋体"/>
          <w:sz w:val="21"/>
          <w:szCs w:val="21"/>
          <w:lang w:bidi="ar"/>
        </w:rPr>
        <w:t>履约保证金以对公银行转账等非现金形式提交：</w:t>
      </w:r>
    </w:p>
    <w:p w14:paraId="481E5717">
      <w:pPr>
        <w:pageBreakBefore w:val="0"/>
        <w:widowControl w:val="0"/>
        <w:tabs>
          <w:tab w:val="left" w:pos="630"/>
        </w:tabs>
        <w:kinsoku/>
        <w:wordWrap/>
        <w:overflowPunct/>
        <w:topLinePunct w:val="0"/>
        <w:bidi w:val="0"/>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bidi="ar"/>
        </w:rPr>
        <w:t>（采购人）账户名称：广东省广裕集团阳春实业有限公司</w:t>
      </w:r>
    </w:p>
    <w:p w14:paraId="20159715">
      <w:pPr>
        <w:pageBreakBefore w:val="0"/>
        <w:widowControl w:val="0"/>
        <w:tabs>
          <w:tab w:val="left" w:pos="630"/>
        </w:tabs>
        <w:kinsoku/>
        <w:wordWrap/>
        <w:overflowPunct/>
        <w:topLinePunct w:val="0"/>
        <w:bidi w:val="0"/>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bidi="ar"/>
        </w:rPr>
        <w:t>开户行：中国农业银行春湾支行</w:t>
      </w:r>
    </w:p>
    <w:p w14:paraId="5EA68D7F">
      <w:pPr>
        <w:pageBreakBefore w:val="0"/>
        <w:widowControl w:val="0"/>
        <w:tabs>
          <w:tab w:val="left" w:pos="630"/>
        </w:tabs>
        <w:kinsoku/>
        <w:wordWrap/>
        <w:overflowPunct/>
        <w:topLinePunct w:val="0"/>
        <w:bidi w:val="0"/>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bidi="ar"/>
        </w:rPr>
        <w:t>开户行账号：554601040000338</w:t>
      </w:r>
    </w:p>
    <w:p w14:paraId="671CAD32">
      <w:pPr>
        <w:pageBreakBefore w:val="0"/>
        <w:widowControl w:val="0"/>
        <w:numPr>
          <w:ilvl w:val="0"/>
          <w:numId w:val="32"/>
        </w:numPr>
        <w:kinsoku/>
        <w:wordWrap/>
        <w:overflowPunct/>
        <w:topLinePunct w:val="0"/>
        <w:bidi w:val="0"/>
        <w:snapToGrid w:val="0"/>
        <w:spacing w:line="360" w:lineRule="auto"/>
        <w:jc w:val="left"/>
        <w:textAlignment w:val="auto"/>
        <w:outlineLvl w:val="9"/>
        <w:rPr>
          <w:rFonts w:hint="eastAsia" w:ascii="宋体" w:hAnsi="宋体" w:eastAsia="宋体" w:cs="宋体"/>
          <w:color w:val="000000"/>
          <w:kern w:val="44"/>
          <w:sz w:val="21"/>
          <w:szCs w:val="21"/>
        </w:rPr>
      </w:pPr>
      <w:r>
        <w:rPr>
          <w:rFonts w:hint="eastAsia" w:ascii="宋体" w:hAnsi="宋体" w:eastAsia="宋体" w:cs="宋体"/>
          <w:color w:val="000000"/>
          <w:kern w:val="44"/>
          <w:sz w:val="21"/>
          <w:szCs w:val="21"/>
          <w:lang w:bidi="ar"/>
        </w:rPr>
        <w:t>发生以下情形，经调查属实的，扣除20%履约保证金：</w:t>
      </w:r>
    </w:p>
    <w:p w14:paraId="735D4FE0">
      <w:pPr>
        <w:pageBreakBefore w:val="0"/>
        <w:widowControl w:val="0"/>
        <w:numPr>
          <w:ilvl w:val="0"/>
          <w:numId w:val="33"/>
        </w:numPr>
        <w:tabs>
          <w:tab w:val="left" w:pos="420"/>
        </w:tabs>
        <w:kinsoku/>
        <w:wordWrap/>
        <w:overflowPunct/>
        <w:topLinePunct w:val="0"/>
        <w:bidi w:val="0"/>
        <w:snapToGrid w:val="0"/>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bidi="ar"/>
        </w:rPr>
        <w:t>未按要求提供相关票证；</w:t>
      </w:r>
    </w:p>
    <w:p w14:paraId="69B25DDD">
      <w:pPr>
        <w:pageBreakBefore w:val="0"/>
        <w:widowControl w:val="0"/>
        <w:numPr>
          <w:ilvl w:val="0"/>
          <w:numId w:val="33"/>
        </w:numPr>
        <w:tabs>
          <w:tab w:val="left" w:pos="420"/>
        </w:tabs>
        <w:kinsoku/>
        <w:wordWrap/>
        <w:overflowPunct/>
        <w:topLinePunct w:val="0"/>
        <w:bidi w:val="0"/>
        <w:snapToGrid w:val="0"/>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bidi="ar"/>
        </w:rPr>
        <w:t>质量验收不合格；</w:t>
      </w:r>
    </w:p>
    <w:p w14:paraId="3F929090">
      <w:pPr>
        <w:pageBreakBefore w:val="0"/>
        <w:widowControl w:val="0"/>
        <w:numPr>
          <w:ilvl w:val="0"/>
          <w:numId w:val="33"/>
        </w:numPr>
        <w:tabs>
          <w:tab w:val="left" w:pos="420"/>
        </w:tabs>
        <w:kinsoku/>
        <w:wordWrap/>
        <w:overflowPunct/>
        <w:topLinePunct w:val="0"/>
        <w:bidi w:val="0"/>
        <w:snapToGrid w:val="0"/>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bidi="ar"/>
        </w:rPr>
        <w:t>未按</w:t>
      </w:r>
      <w:r>
        <w:rPr>
          <w:rFonts w:hint="eastAsia" w:ascii="宋体" w:hAnsi="宋体" w:eastAsia="宋体" w:cs="宋体"/>
          <w:sz w:val="21"/>
          <w:szCs w:val="21"/>
          <w:lang w:eastAsia="zh-CN" w:bidi="ar"/>
        </w:rPr>
        <w:t>甲方</w:t>
      </w:r>
      <w:r>
        <w:rPr>
          <w:rFonts w:hint="eastAsia" w:ascii="宋体" w:hAnsi="宋体" w:eastAsia="宋体" w:cs="宋体"/>
          <w:sz w:val="21"/>
          <w:szCs w:val="21"/>
          <w:lang w:bidi="ar"/>
        </w:rPr>
        <w:t>指定秩序卸货；</w:t>
      </w:r>
    </w:p>
    <w:p w14:paraId="3BBDB0E1">
      <w:pPr>
        <w:pageBreakBefore w:val="0"/>
        <w:widowControl w:val="0"/>
        <w:numPr>
          <w:ilvl w:val="0"/>
          <w:numId w:val="33"/>
        </w:numPr>
        <w:tabs>
          <w:tab w:val="left" w:pos="420"/>
        </w:tabs>
        <w:kinsoku/>
        <w:wordWrap/>
        <w:overflowPunct/>
        <w:topLinePunct w:val="0"/>
        <w:bidi w:val="0"/>
        <w:snapToGrid w:val="0"/>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bidi="ar"/>
        </w:rPr>
        <w:t>出现质量问题，</w:t>
      </w:r>
      <w:r>
        <w:rPr>
          <w:rFonts w:hint="eastAsia" w:ascii="宋体" w:hAnsi="宋体" w:eastAsia="宋体" w:cs="宋体"/>
          <w:sz w:val="21"/>
          <w:szCs w:val="21"/>
          <w:lang w:eastAsia="zh-CN" w:bidi="ar"/>
        </w:rPr>
        <w:t>乙方</w:t>
      </w:r>
      <w:r>
        <w:rPr>
          <w:rFonts w:hint="eastAsia" w:ascii="宋体" w:hAnsi="宋体" w:eastAsia="宋体" w:cs="宋体"/>
          <w:sz w:val="21"/>
          <w:szCs w:val="21"/>
          <w:lang w:bidi="ar"/>
        </w:rPr>
        <w:t>不积极配合查找原因，不及时反馈处理结果；</w:t>
      </w:r>
    </w:p>
    <w:p w14:paraId="4ABD88DE">
      <w:pPr>
        <w:pageBreakBefore w:val="0"/>
        <w:widowControl w:val="0"/>
        <w:numPr>
          <w:ilvl w:val="0"/>
          <w:numId w:val="33"/>
        </w:numPr>
        <w:tabs>
          <w:tab w:val="left" w:pos="420"/>
        </w:tabs>
        <w:kinsoku/>
        <w:wordWrap/>
        <w:overflowPunct/>
        <w:topLinePunct w:val="0"/>
        <w:bidi w:val="0"/>
        <w:snapToGrid w:val="0"/>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bidi="ar"/>
        </w:rPr>
        <w:t>工作人员不遵守</w:t>
      </w:r>
      <w:r>
        <w:rPr>
          <w:rFonts w:hint="eastAsia" w:ascii="宋体" w:hAnsi="宋体" w:eastAsia="宋体" w:cs="宋体"/>
          <w:sz w:val="21"/>
          <w:szCs w:val="21"/>
          <w:lang w:eastAsia="zh-CN" w:bidi="ar"/>
        </w:rPr>
        <w:t>甲方</w:t>
      </w:r>
      <w:r>
        <w:rPr>
          <w:rFonts w:hint="eastAsia" w:ascii="宋体" w:hAnsi="宋体" w:eastAsia="宋体" w:cs="宋体"/>
          <w:sz w:val="21"/>
          <w:szCs w:val="21"/>
          <w:lang w:bidi="ar"/>
        </w:rPr>
        <w:t>各项管理规定；</w:t>
      </w:r>
    </w:p>
    <w:p w14:paraId="59DD8BDF">
      <w:pPr>
        <w:pageBreakBefore w:val="0"/>
        <w:widowControl w:val="0"/>
        <w:numPr>
          <w:ilvl w:val="0"/>
          <w:numId w:val="32"/>
        </w:numPr>
        <w:kinsoku/>
        <w:wordWrap/>
        <w:overflowPunct/>
        <w:topLinePunct w:val="0"/>
        <w:bidi w:val="0"/>
        <w:snapToGrid w:val="0"/>
        <w:spacing w:line="360" w:lineRule="auto"/>
        <w:jc w:val="left"/>
        <w:textAlignment w:val="auto"/>
        <w:outlineLvl w:val="9"/>
        <w:rPr>
          <w:rFonts w:hint="eastAsia" w:ascii="宋体" w:hAnsi="宋体" w:eastAsia="宋体" w:cs="宋体"/>
          <w:color w:val="000000"/>
          <w:kern w:val="44"/>
          <w:sz w:val="21"/>
          <w:szCs w:val="21"/>
        </w:rPr>
      </w:pPr>
      <w:r>
        <w:rPr>
          <w:rFonts w:hint="eastAsia" w:ascii="宋体" w:hAnsi="宋体" w:eastAsia="宋体" w:cs="宋体"/>
          <w:color w:val="000000"/>
          <w:kern w:val="44"/>
          <w:sz w:val="21"/>
          <w:szCs w:val="21"/>
          <w:lang w:bidi="ar"/>
        </w:rPr>
        <w:t>发生以下情形，经调查属实的，扣除50%履约保证金：</w:t>
      </w:r>
    </w:p>
    <w:p w14:paraId="6CE13741">
      <w:pPr>
        <w:pageBreakBefore w:val="0"/>
        <w:widowControl w:val="0"/>
        <w:numPr>
          <w:ilvl w:val="0"/>
          <w:numId w:val="34"/>
        </w:numPr>
        <w:tabs>
          <w:tab w:val="left" w:pos="420"/>
        </w:tabs>
        <w:kinsoku/>
        <w:wordWrap/>
        <w:overflowPunct/>
        <w:topLinePunct w:val="0"/>
        <w:bidi w:val="0"/>
        <w:snapToGrid w:val="0"/>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bidi="ar"/>
        </w:rPr>
        <w:t>供应货物规格或质量等级与合同不符；</w:t>
      </w:r>
    </w:p>
    <w:p w14:paraId="1BEDA32A">
      <w:pPr>
        <w:pageBreakBefore w:val="0"/>
        <w:widowControl w:val="0"/>
        <w:numPr>
          <w:ilvl w:val="0"/>
          <w:numId w:val="34"/>
        </w:numPr>
        <w:tabs>
          <w:tab w:val="left" w:pos="420"/>
        </w:tabs>
        <w:kinsoku/>
        <w:wordWrap/>
        <w:overflowPunct/>
        <w:topLinePunct w:val="0"/>
        <w:bidi w:val="0"/>
        <w:snapToGrid w:val="0"/>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bidi="ar"/>
        </w:rPr>
        <w:t>提供虚假检验报告等相关票证；</w:t>
      </w:r>
    </w:p>
    <w:p w14:paraId="05CFA805">
      <w:pPr>
        <w:pageBreakBefore w:val="0"/>
        <w:widowControl w:val="0"/>
        <w:numPr>
          <w:ilvl w:val="0"/>
          <w:numId w:val="34"/>
        </w:numPr>
        <w:tabs>
          <w:tab w:val="left" w:pos="420"/>
        </w:tabs>
        <w:kinsoku/>
        <w:wordWrap/>
        <w:overflowPunct/>
        <w:topLinePunct w:val="0"/>
        <w:bidi w:val="0"/>
        <w:snapToGrid w:val="0"/>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bidi="ar"/>
        </w:rPr>
        <w:t>同一品种货物连续两次验收发现质量不合格产品并退货；</w:t>
      </w:r>
    </w:p>
    <w:p w14:paraId="158FB83C">
      <w:pPr>
        <w:pageBreakBefore w:val="0"/>
        <w:widowControl w:val="0"/>
        <w:numPr>
          <w:ilvl w:val="0"/>
          <w:numId w:val="34"/>
        </w:numPr>
        <w:tabs>
          <w:tab w:val="left" w:pos="420"/>
        </w:tabs>
        <w:kinsoku/>
        <w:wordWrap/>
        <w:overflowPunct/>
        <w:topLinePunct w:val="0"/>
        <w:bidi w:val="0"/>
        <w:snapToGrid w:val="0"/>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bidi="ar"/>
        </w:rPr>
        <w:t>把</w:t>
      </w:r>
      <w:r>
        <w:rPr>
          <w:rFonts w:hint="eastAsia" w:ascii="宋体" w:hAnsi="宋体" w:eastAsia="宋体" w:cs="宋体"/>
          <w:sz w:val="21"/>
          <w:szCs w:val="21"/>
          <w:lang w:eastAsia="zh-CN" w:bidi="ar"/>
        </w:rPr>
        <w:t>甲方</w:t>
      </w:r>
      <w:r>
        <w:rPr>
          <w:rFonts w:hint="eastAsia" w:ascii="宋体" w:hAnsi="宋体" w:eastAsia="宋体" w:cs="宋体"/>
          <w:sz w:val="21"/>
          <w:szCs w:val="21"/>
          <w:lang w:bidi="ar"/>
        </w:rPr>
        <w:t>验收不合格退货的货物重新配送给</w:t>
      </w:r>
      <w:r>
        <w:rPr>
          <w:rFonts w:hint="eastAsia" w:ascii="宋体" w:hAnsi="宋体" w:eastAsia="宋体" w:cs="宋体"/>
          <w:sz w:val="21"/>
          <w:szCs w:val="21"/>
          <w:lang w:eastAsia="zh-CN" w:bidi="ar"/>
        </w:rPr>
        <w:t>甲方</w:t>
      </w:r>
      <w:r>
        <w:rPr>
          <w:rFonts w:hint="eastAsia" w:ascii="宋体" w:hAnsi="宋体" w:eastAsia="宋体" w:cs="宋体"/>
          <w:sz w:val="21"/>
          <w:szCs w:val="21"/>
          <w:lang w:bidi="ar"/>
        </w:rPr>
        <w:t>；</w:t>
      </w:r>
    </w:p>
    <w:p w14:paraId="6EA68386">
      <w:pPr>
        <w:pageBreakBefore w:val="0"/>
        <w:widowControl w:val="0"/>
        <w:numPr>
          <w:ilvl w:val="0"/>
          <w:numId w:val="32"/>
        </w:numPr>
        <w:kinsoku/>
        <w:wordWrap/>
        <w:overflowPunct/>
        <w:topLinePunct w:val="0"/>
        <w:bidi w:val="0"/>
        <w:snapToGrid w:val="0"/>
        <w:spacing w:line="360" w:lineRule="auto"/>
        <w:jc w:val="left"/>
        <w:textAlignment w:val="auto"/>
        <w:outlineLvl w:val="9"/>
        <w:rPr>
          <w:rFonts w:hint="eastAsia" w:ascii="宋体" w:hAnsi="宋体" w:eastAsia="宋体" w:cs="宋体"/>
          <w:color w:val="000000"/>
          <w:kern w:val="44"/>
          <w:sz w:val="21"/>
          <w:szCs w:val="21"/>
        </w:rPr>
      </w:pPr>
      <w:r>
        <w:rPr>
          <w:rFonts w:hint="eastAsia" w:ascii="宋体" w:hAnsi="宋体" w:eastAsia="宋体" w:cs="宋体"/>
          <w:color w:val="000000"/>
          <w:kern w:val="44"/>
          <w:sz w:val="21"/>
          <w:szCs w:val="21"/>
          <w:lang w:bidi="ar"/>
        </w:rPr>
        <w:t>本项目的履约保证金在两年质保期结束后由</w:t>
      </w:r>
      <w:r>
        <w:rPr>
          <w:rFonts w:hint="eastAsia" w:ascii="宋体" w:hAnsi="宋体" w:eastAsia="宋体" w:cs="宋体"/>
          <w:color w:val="000000"/>
          <w:kern w:val="44"/>
          <w:sz w:val="21"/>
          <w:szCs w:val="21"/>
          <w:lang w:eastAsia="zh-CN" w:bidi="ar"/>
        </w:rPr>
        <w:t>乙方</w:t>
      </w:r>
      <w:r>
        <w:rPr>
          <w:rFonts w:hint="eastAsia" w:ascii="宋体" w:hAnsi="宋体" w:eastAsia="宋体" w:cs="宋体"/>
          <w:color w:val="000000"/>
          <w:kern w:val="44"/>
          <w:sz w:val="21"/>
          <w:szCs w:val="21"/>
          <w:lang w:bidi="ar"/>
        </w:rPr>
        <w:t>提出退还申请，</w:t>
      </w:r>
      <w:r>
        <w:rPr>
          <w:rFonts w:hint="eastAsia" w:ascii="宋体" w:hAnsi="宋体" w:eastAsia="宋体" w:cs="宋体"/>
          <w:color w:val="000000"/>
          <w:kern w:val="44"/>
          <w:sz w:val="21"/>
          <w:szCs w:val="21"/>
          <w:lang w:eastAsia="zh-CN" w:bidi="ar"/>
        </w:rPr>
        <w:t>甲方</w:t>
      </w:r>
      <w:r>
        <w:rPr>
          <w:rFonts w:hint="eastAsia" w:ascii="宋体" w:hAnsi="宋体" w:eastAsia="宋体" w:cs="宋体"/>
          <w:color w:val="000000"/>
          <w:kern w:val="44"/>
          <w:sz w:val="21"/>
          <w:szCs w:val="21"/>
          <w:lang w:bidi="ar"/>
        </w:rPr>
        <w:t>于5个工作日内无息退还。</w:t>
      </w:r>
    </w:p>
    <w:p w14:paraId="787C4490">
      <w:pPr>
        <w:pageBreakBefore w:val="0"/>
        <w:widowControl w:val="0"/>
        <w:numPr>
          <w:ilvl w:val="0"/>
          <w:numId w:val="32"/>
        </w:numPr>
        <w:kinsoku/>
        <w:wordWrap/>
        <w:overflowPunct/>
        <w:topLinePunct w:val="0"/>
        <w:bidi w:val="0"/>
        <w:snapToGrid w:val="0"/>
        <w:spacing w:line="360" w:lineRule="auto"/>
        <w:jc w:val="left"/>
        <w:textAlignment w:val="auto"/>
        <w:outlineLvl w:val="9"/>
        <w:rPr>
          <w:rFonts w:hint="eastAsia" w:ascii="宋体" w:hAnsi="宋体" w:eastAsia="宋体" w:cs="宋体"/>
          <w:color w:val="000000"/>
          <w:kern w:val="44"/>
          <w:sz w:val="21"/>
          <w:szCs w:val="21"/>
        </w:rPr>
      </w:pPr>
      <w:r>
        <w:rPr>
          <w:rFonts w:hint="eastAsia" w:ascii="宋体" w:hAnsi="宋体" w:eastAsia="宋体" w:cs="宋体"/>
          <w:color w:val="000000"/>
          <w:kern w:val="44"/>
          <w:sz w:val="21"/>
          <w:szCs w:val="21"/>
          <w:lang w:bidi="ar"/>
        </w:rPr>
        <w:t>本履约保证金，在</w:t>
      </w:r>
      <w:r>
        <w:rPr>
          <w:rFonts w:hint="eastAsia" w:ascii="宋体" w:hAnsi="宋体" w:eastAsia="宋体" w:cs="宋体"/>
          <w:color w:val="000000"/>
          <w:kern w:val="44"/>
          <w:sz w:val="21"/>
          <w:szCs w:val="21"/>
          <w:lang w:eastAsia="zh-CN" w:bidi="ar"/>
        </w:rPr>
        <w:t>乙方</w:t>
      </w:r>
      <w:r>
        <w:rPr>
          <w:rFonts w:hint="eastAsia" w:ascii="宋体" w:hAnsi="宋体" w:eastAsia="宋体" w:cs="宋体"/>
          <w:color w:val="000000"/>
          <w:kern w:val="44"/>
          <w:sz w:val="21"/>
          <w:szCs w:val="21"/>
          <w:lang w:bidi="ar"/>
        </w:rPr>
        <w:t>不履行应承担的义务或因过失导致</w:t>
      </w:r>
      <w:r>
        <w:rPr>
          <w:rFonts w:hint="eastAsia" w:ascii="宋体" w:hAnsi="宋体" w:eastAsia="宋体" w:cs="宋体"/>
          <w:color w:val="000000"/>
          <w:kern w:val="44"/>
          <w:sz w:val="21"/>
          <w:szCs w:val="21"/>
          <w:lang w:eastAsia="zh-CN" w:bidi="ar"/>
        </w:rPr>
        <w:t>甲方</w:t>
      </w:r>
      <w:r>
        <w:rPr>
          <w:rFonts w:hint="eastAsia" w:ascii="宋体" w:hAnsi="宋体" w:eastAsia="宋体" w:cs="宋体"/>
          <w:color w:val="000000"/>
          <w:kern w:val="44"/>
          <w:sz w:val="21"/>
          <w:szCs w:val="21"/>
          <w:lang w:bidi="ar"/>
        </w:rPr>
        <w:t>或第三方损失而又拒绝承担赔偿责任时，</w:t>
      </w:r>
      <w:r>
        <w:rPr>
          <w:rFonts w:hint="eastAsia" w:ascii="宋体" w:hAnsi="宋体" w:eastAsia="宋体" w:cs="宋体"/>
          <w:color w:val="000000"/>
          <w:kern w:val="44"/>
          <w:sz w:val="21"/>
          <w:szCs w:val="21"/>
          <w:lang w:eastAsia="zh-CN" w:bidi="ar"/>
        </w:rPr>
        <w:t>甲方</w:t>
      </w:r>
      <w:r>
        <w:rPr>
          <w:rFonts w:hint="eastAsia" w:ascii="宋体" w:hAnsi="宋体" w:eastAsia="宋体" w:cs="宋体"/>
          <w:color w:val="000000"/>
          <w:kern w:val="44"/>
          <w:sz w:val="21"/>
          <w:szCs w:val="21"/>
          <w:lang w:bidi="ar"/>
        </w:rPr>
        <w:t>有权对保证金进行处置，如保证金数额不足以赔偿</w:t>
      </w:r>
      <w:r>
        <w:rPr>
          <w:rFonts w:hint="eastAsia" w:ascii="宋体" w:hAnsi="宋体" w:eastAsia="宋体" w:cs="宋体"/>
          <w:color w:val="000000"/>
          <w:kern w:val="44"/>
          <w:sz w:val="21"/>
          <w:szCs w:val="21"/>
          <w:lang w:eastAsia="zh-CN" w:bidi="ar"/>
        </w:rPr>
        <w:t>甲方</w:t>
      </w:r>
      <w:r>
        <w:rPr>
          <w:rFonts w:hint="eastAsia" w:ascii="宋体" w:hAnsi="宋体" w:eastAsia="宋体" w:cs="宋体"/>
          <w:color w:val="000000"/>
          <w:kern w:val="44"/>
          <w:sz w:val="21"/>
          <w:szCs w:val="21"/>
          <w:lang w:bidi="ar"/>
        </w:rPr>
        <w:t>或第三方损失时，</w:t>
      </w:r>
      <w:r>
        <w:rPr>
          <w:rFonts w:hint="eastAsia" w:ascii="宋体" w:hAnsi="宋体" w:eastAsia="宋体" w:cs="宋体"/>
          <w:color w:val="000000"/>
          <w:kern w:val="44"/>
          <w:sz w:val="21"/>
          <w:szCs w:val="21"/>
          <w:lang w:eastAsia="zh-CN" w:bidi="ar"/>
        </w:rPr>
        <w:t>甲方</w:t>
      </w:r>
      <w:r>
        <w:rPr>
          <w:rFonts w:hint="eastAsia" w:ascii="宋体" w:hAnsi="宋体" w:eastAsia="宋体" w:cs="宋体"/>
          <w:color w:val="000000"/>
          <w:kern w:val="44"/>
          <w:sz w:val="21"/>
          <w:szCs w:val="21"/>
          <w:lang w:bidi="ar"/>
        </w:rPr>
        <w:t>还有权继续对</w:t>
      </w:r>
      <w:r>
        <w:rPr>
          <w:rFonts w:hint="eastAsia" w:ascii="宋体" w:hAnsi="宋体" w:eastAsia="宋体" w:cs="宋体"/>
          <w:color w:val="000000"/>
          <w:kern w:val="44"/>
          <w:sz w:val="21"/>
          <w:szCs w:val="21"/>
          <w:lang w:eastAsia="zh-CN" w:bidi="ar"/>
        </w:rPr>
        <w:t>乙方</w:t>
      </w:r>
      <w:r>
        <w:rPr>
          <w:rFonts w:hint="eastAsia" w:ascii="宋体" w:hAnsi="宋体" w:eastAsia="宋体" w:cs="宋体"/>
          <w:color w:val="000000"/>
          <w:kern w:val="44"/>
          <w:sz w:val="21"/>
          <w:szCs w:val="21"/>
          <w:lang w:bidi="ar"/>
        </w:rPr>
        <w:t>进行追讨。</w:t>
      </w:r>
    </w:p>
    <w:p w14:paraId="575D827B">
      <w:pPr>
        <w:pageBreakBefore w:val="0"/>
        <w:widowControl w:val="0"/>
        <w:numPr>
          <w:ilvl w:val="0"/>
          <w:numId w:val="32"/>
        </w:numPr>
        <w:kinsoku/>
        <w:wordWrap/>
        <w:overflowPunct/>
        <w:topLinePunct w:val="0"/>
        <w:bidi w:val="0"/>
        <w:snapToGrid w:val="0"/>
        <w:spacing w:line="360" w:lineRule="auto"/>
        <w:jc w:val="left"/>
        <w:textAlignment w:val="auto"/>
        <w:outlineLvl w:val="9"/>
        <w:rPr>
          <w:rFonts w:hint="eastAsia" w:ascii="宋体" w:hAnsi="宋体" w:eastAsia="宋体" w:cs="宋体"/>
          <w:color w:val="000000"/>
          <w:kern w:val="44"/>
          <w:sz w:val="21"/>
          <w:szCs w:val="21"/>
        </w:rPr>
      </w:pPr>
      <w:r>
        <w:rPr>
          <w:rFonts w:hint="eastAsia" w:ascii="宋体" w:hAnsi="宋体" w:eastAsia="宋体" w:cs="宋体"/>
          <w:color w:val="000000"/>
          <w:kern w:val="44"/>
          <w:sz w:val="21"/>
          <w:szCs w:val="21"/>
          <w:lang w:bidi="ar"/>
        </w:rPr>
        <w:t>如因</w:t>
      </w:r>
      <w:r>
        <w:rPr>
          <w:rFonts w:hint="eastAsia" w:ascii="宋体" w:hAnsi="宋体" w:eastAsia="宋体" w:cs="宋体"/>
          <w:color w:val="000000"/>
          <w:kern w:val="44"/>
          <w:sz w:val="21"/>
          <w:szCs w:val="21"/>
          <w:lang w:eastAsia="zh-CN" w:bidi="ar"/>
        </w:rPr>
        <w:t>甲方</w:t>
      </w:r>
      <w:r>
        <w:rPr>
          <w:rFonts w:hint="eastAsia" w:ascii="宋体" w:hAnsi="宋体" w:eastAsia="宋体" w:cs="宋体"/>
          <w:color w:val="000000"/>
          <w:kern w:val="44"/>
          <w:sz w:val="21"/>
          <w:szCs w:val="21"/>
          <w:lang w:bidi="ar"/>
        </w:rPr>
        <w:t>的合同约定扣减保证金，</w:t>
      </w:r>
      <w:r>
        <w:rPr>
          <w:rFonts w:hint="eastAsia" w:ascii="宋体" w:hAnsi="宋体" w:eastAsia="宋体" w:cs="宋体"/>
          <w:color w:val="000000"/>
          <w:kern w:val="44"/>
          <w:sz w:val="21"/>
          <w:szCs w:val="21"/>
          <w:lang w:eastAsia="zh-CN" w:bidi="ar"/>
        </w:rPr>
        <w:t>乙方</w:t>
      </w:r>
      <w:r>
        <w:rPr>
          <w:rFonts w:hint="eastAsia" w:ascii="宋体" w:hAnsi="宋体" w:eastAsia="宋体" w:cs="宋体"/>
          <w:color w:val="000000"/>
          <w:kern w:val="44"/>
          <w:sz w:val="21"/>
          <w:szCs w:val="21"/>
          <w:lang w:bidi="ar"/>
        </w:rPr>
        <w:t>须五个工作日内补足至原有金额，否则，将视为</w:t>
      </w:r>
      <w:r>
        <w:rPr>
          <w:rFonts w:hint="eastAsia" w:ascii="宋体" w:hAnsi="宋体" w:eastAsia="宋体" w:cs="宋体"/>
          <w:color w:val="000000"/>
          <w:kern w:val="44"/>
          <w:sz w:val="21"/>
          <w:szCs w:val="21"/>
          <w:lang w:eastAsia="zh-CN" w:bidi="ar"/>
        </w:rPr>
        <w:t>乙方</w:t>
      </w:r>
      <w:r>
        <w:rPr>
          <w:rFonts w:hint="eastAsia" w:ascii="宋体" w:hAnsi="宋体" w:eastAsia="宋体" w:cs="宋体"/>
          <w:color w:val="000000"/>
          <w:kern w:val="44"/>
          <w:sz w:val="21"/>
          <w:szCs w:val="21"/>
          <w:lang w:bidi="ar"/>
        </w:rPr>
        <w:t>毁约。</w:t>
      </w:r>
    </w:p>
    <w:p w14:paraId="5EEF41D2">
      <w:pPr>
        <w:pageBreakBefore w:val="0"/>
        <w:widowControl w:val="0"/>
        <w:numPr>
          <w:ilvl w:val="0"/>
          <w:numId w:val="27"/>
        </w:numPr>
        <w:tabs>
          <w:tab w:val="left" w:pos="1259"/>
        </w:tabs>
        <w:kinsoku/>
        <w:wordWrap/>
        <w:overflowPunct/>
        <w:topLinePunct w:val="0"/>
        <w:bidi w:val="0"/>
        <w:spacing w:before="0" w:after="0" w:line="360" w:lineRule="auto"/>
        <w:textAlignment w:val="auto"/>
        <w:outlineLvl w:val="9"/>
        <w:rPr>
          <w:rFonts w:hint="eastAsia" w:ascii="宋体" w:hAnsi="宋体" w:eastAsia="宋体" w:cs="宋体"/>
          <w:b/>
          <w:bCs/>
          <w:sz w:val="21"/>
          <w:szCs w:val="21"/>
        </w:rPr>
      </w:pPr>
      <w:r>
        <w:rPr>
          <w:rFonts w:hint="eastAsia" w:ascii="宋体" w:hAnsi="宋体" w:eastAsia="宋体" w:cs="宋体"/>
          <w:b/>
          <w:bCs/>
          <w:sz w:val="21"/>
          <w:szCs w:val="21"/>
          <w:lang w:eastAsia="zh-CN"/>
        </w:rPr>
        <w:t>乙方</w:t>
      </w:r>
      <w:r>
        <w:rPr>
          <w:rFonts w:hint="eastAsia" w:ascii="宋体" w:hAnsi="宋体" w:eastAsia="宋体" w:cs="宋体"/>
          <w:b/>
          <w:bCs/>
          <w:sz w:val="21"/>
          <w:szCs w:val="21"/>
        </w:rPr>
        <w:t>管理要求</w:t>
      </w:r>
    </w:p>
    <w:p w14:paraId="1E0D41A5">
      <w:pPr>
        <w:pageBreakBefore w:val="0"/>
        <w:widowControl w:val="0"/>
        <w:numPr>
          <w:ilvl w:val="0"/>
          <w:numId w:val="35"/>
        </w:numPr>
        <w:tabs>
          <w:tab w:val="left" w:pos="630"/>
        </w:tabs>
        <w:kinsoku/>
        <w:wordWrap/>
        <w:overflowPunct/>
        <w:topLinePunct w:val="0"/>
        <w:bidi w:val="0"/>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bidi="ar"/>
        </w:rPr>
        <w:t>乙方</w:t>
      </w:r>
      <w:r>
        <w:rPr>
          <w:rFonts w:hint="eastAsia" w:ascii="宋体" w:hAnsi="宋体" w:eastAsia="宋体" w:cs="宋体"/>
          <w:sz w:val="21"/>
          <w:szCs w:val="21"/>
          <w:lang w:bidi="ar"/>
        </w:rPr>
        <w:t>有以下行为，经调查属实的，</w:t>
      </w:r>
      <w:r>
        <w:rPr>
          <w:rFonts w:hint="eastAsia" w:ascii="宋体" w:hAnsi="宋体" w:eastAsia="宋体" w:cs="宋体"/>
          <w:sz w:val="21"/>
          <w:szCs w:val="21"/>
          <w:lang w:eastAsia="zh-CN" w:bidi="ar"/>
        </w:rPr>
        <w:t>甲方</w:t>
      </w:r>
      <w:r>
        <w:rPr>
          <w:rFonts w:hint="eastAsia" w:ascii="宋体" w:hAnsi="宋体" w:eastAsia="宋体" w:cs="宋体"/>
          <w:sz w:val="21"/>
          <w:szCs w:val="21"/>
          <w:lang w:bidi="ar"/>
        </w:rPr>
        <w:t>将立即解除相关供应合同，履约保证金不退还：</w:t>
      </w:r>
    </w:p>
    <w:p w14:paraId="7EC25F93">
      <w:pPr>
        <w:pageBreakBefore w:val="0"/>
        <w:widowControl w:val="0"/>
        <w:numPr>
          <w:ilvl w:val="0"/>
          <w:numId w:val="36"/>
        </w:numPr>
        <w:tabs>
          <w:tab w:val="left" w:pos="851"/>
        </w:tabs>
        <w:kinsoku/>
        <w:wordWrap/>
        <w:overflowPunct/>
        <w:topLinePunct w:val="0"/>
        <w:bidi w:val="0"/>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bidi="ar"/>
        </w:rPr>
        <w:t>弄虚作假，提供虚假材料取得成交供应资格的；</w:t>
      </w:r>
    </w:p>
    <w:p w14:paraId="3A3EBB12">
      <w:pPr>
        <w:pageBreakBefore w:val="0"/>
        <w:widowControl w:val="0"/>
        <w:numPr>
          <w:ilvl w:val="0"/>
          <w:numId w:val="36"/>
        </w:numPr>
        <w:tabs>
          <w:tab w:val="left" w:pos="851"/>
        </w:tabs>
        <w:kinsoku/>
        <w:wordWrap/>
        <w:overflowPunct/>
        <w:topLinePunct w:val="0"/>
        <w:bidi w:val="0"/>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bidi="ar"/>
        </w:rPr>
        <w:t>成交供应项目有转包、分包行为的；</w:t>
      </w:r>
    </w:p>
    <w:p w14:paraId="23E8924F">
      <w:pPr>
        <w:pageBreakBefore w:val="0"/>
        <w:widowControl w:val="0"/>
        <w:numPr>
          <w:ilvl w:val="0"/>
          <w:numId w:val="36"/>
        </w:numPr>
        <w:tabs>
          <w:tab w:val="left" w:pos="851"/>
        </w:tabs>
        <w:kinsoku/>
        <w:wordWrap/>
        <w:overflowPunct/>
        <w:topLinePunct w:val="0"/>
        <w:bidi w:val="0"/>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bidi="ar"/>
        </w:rPr>
        <w:t>经营情况发生重大变更，已经不具备承接成交供应项目能力的；</w:t>
      </w:r>
    </w:p>
    <w:p w14:paraId="4ABCB596">
      <w:pPr>
        <w:pageBreakBefore w:val="0"/>
        <w:widowControl w:val="0"/>
        <w:numPr>
          <w:ilvl w:val="0"/>
          <w:numId w:val="36"/>
        </w:numPr>
        <w:tabs>
          <w:tab w:val="left" w:pos="851"/>
        </w:tabs>
        <w:kinsoku/>
        <w:wordWrap/>
        <w:overflowPunct/>
        <w:topLinePunct w:val="0"/>
        <w:bidi w:val="0"/>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bidi="ar"/>
        </w:rPr>
        <w:t>无正当理由拒绝履行合同的；</w:t>
      </w:r>
    </w:p>
    <w:p w14:paraId="09CB967E">
      <w:pPr>
        <w:pageBreakBefore w:val="0"/>
        <w:widowControl w:val="0"/>
        <w:numPr>
          <w:ilvl w:val="0"/>
          <w:numId w:val="36"/>
        </w:numPr>
        <w:tabs>
          <w:tab w:val="left" w:pos="851"/>
        </w:tabs>
        <w:kinsoku/>
        <w:wordWrap/>
        <w:overflowPunct/>
        <w:topLinePunct w:val="0"/>
        <w:bidi w:val="0"/>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bidi="ar"/>
        </w:rPr>
        <w:t>有行贿、给回扣等不正当竞争行为的；</w:t>
      </w:r>
    </w:p>
    <w:p w14:paraId="2B162BDA">
      <w:pPr>
        <w:pageBreakBefore w:val="0"/>
        <w:widowControl w:val="0"/>
        <w:numPr>
          <w:ilvl w:val="0"/>
          <w:numId w:val="36"/>
        </w:numPr>
        <w:tabs>
          <w:tab w:val="left" w:pos="851"/>
        </w:tabs>
        <w:kinsoku/>
        <w:wordWrap/>
        <w:overflowPunct/>
        <w:topLinePunct w:val="0"/>
        <w:bidi w:val="0"/>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bidi="ar"/>
        </w:rPr>
        <w:t>所供应货物存在如甲醛超标、刺激性气味强、设计不合理等可能存在质量安全问题、对人体有害的情形或故意以次充好，以假冒真，假冒伪劣行为的；</w:t>
      </w:r>
    </w:p>
    <w:p w14:paraId="27904AFA">
      <w:pPr>
        <w:pageBreakBefore w:val="0"/>
        <w:widowControl w:val="0"/>
        <w:numPr>
          <w:ilvl w:val="0"/>
          <w:numId w:val="36"/>
        </w:numPr>
        <w:tabs>
          <w:tab w:val="left" w:pos="851"/>
        </w:tabs>
        <w:kinsoku/>
        <w:wordWrap/>
        <w:overflowPunct/>
        <w:topLinePunct w:val="0"/>
        <w:bidi w:val="0"/>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bidi="ar"/>
        </w:rPr>
        <w:t>因</w:t>
      </w:r>
      <w:r>
        <w:rPr>
          <w:rFonts w:hint="eastAsia" w:ascii="宋体" w:hAnsi="宋体" w:eastAsia="宋体" w:cs="宋体"/>
          <w:sz w:val="21"/>
          <w:szCs w:val="21"/>
          <w:lang w:eastAsia="zh-CN" w:bidi="ar"/>
        </w:rPr>
        <w:t>乙方</w:t>
      </w:r>
      <w:r>
        <w:rPr>
          <w:rFonts w:hint="eastAsia" w:ascii="宋体" w:hAnsi="宋体" w:eastAsia="宋体" w:cs="宋体"/>
          <w:sz w:val="21"/>
          <w:szCs w:val="21"/>
          <w:lang w:bidi="ar"/>
        </w:rPr>
        <w:t>原因导致狱内发生监管安全事故的；</w:t>
      </w:r>
    </w:p>
    <w:p w14:paraId="200E697D">
      <w:pPr>
        <w:pageBreakBefore w:val="0"/>
        <w:widowControl w:val="0"/>
        <w:numPr>
          <w:ilvl w:val="0"/>
          <w:numId w:val="36"/>
        </w:numPr>
        <w:tabs>
          <w:tab w:val="left" w:pos="851"/>
        </w:tabs>
        <w:kinsoku/>
        <w:wordWrap/>
        <w:overflowPunct/>
        <w:topLinePunct w:val="0"/>
        <w:bidi w:val="0"/>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bidi="ar"/>
        </w:rPr>
        <w:t>甲方</w:t>
      </w:r>
      <w:r>
        <w:rPr>
          <w:rFonts w:hint="eastAsia" w:ascii="宋体" w:hAnsi="宋体" w:eastAsia="宋体" w:cs="宋体"/>
          <w:sz w:val="21"/>
          <w:szCs w:val="21"/>
          <w:lang w:bidi="ar"/>
        </w:rPr>
        <w:t>第一或第二次发现</w:t>
      </w:r>
      <w:r>
        <w:rPr>
          <w:rFonts w:hint="eastAsia" w:ascii="宋体" w:hAnsi="宋体" w:eastAsia="宋体" w:cs="宋体"/>
          <w:sz w:val="21"/>
          <w:szCs w:val="21"/>
          <w:lang w:eastAsia="zh-CN" w:bidi="ar"/>
        </w:rPr>
        <w:t>乙方</w:t>
      </w:r>
      <w:r>
        <w:rPr>
          <w:rFonts w:hint="eastAsia" w:ascii="宋体" w:hAnsi="宋体" w:eastAsia="宋体" w:cs="宋体"/>
          <w:sz w:val="21"/>
          <w:szCs w:val="21"/>
          <w:lang w:bidi="ar"/>
        </w:rPr>
        <w:t>的工作人员为监狱服刑人员传带物品，且造成重大社会不良影响的；</w:t>
      </w:r>
    </w:p>
    <w:p w14:paraId="66F79418">
      <w:pPr>
        <w:pageBreakBefore w:val="0"/>
        <w:widowControl w:val="0"/>
        <w:numPr>
          <w:ilvl w:val="0"/>
          <w:numId w:val="36"/>
        </w:numPr>
        <w:tabs>
          <w:tab w:val="left" w:pos="851"/>
        </w:tabs>
        <w:kinsoku/>
        <w:wordWrap/>
        <w:overflowPunct/>
        <w:topLinePunct w:val="0"/>
        <w:bidi w:val="0"/>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bidi="ar"/>
        </w:rPr>
        <w:t>甲方</w:t>
      </w:r>
      <w:r>
        <w:rPr>
          <w:rFonts w:hint="eastAsia" w:ascii="宋体" w:hAnsi="宋体" w:eastAsia="宋体" w:cs="宋体"/>
          <w:sz w:val="21"/>
          <w:szCs w:val="21"/>
          <w:lang w:bidi="ar"/>
        </w:rPr>
        <w:t>第三次发现</w:t>
      </w:r>
      <w:r>
        <w:rPr>
          <w:rFonts w:hint="eastAsia" w:ascii="宋体" w:hAnsi="宋体" w:eastAsia="宋体" w:cs="宋体"/>
          <w:sz w:val="21"/>
          <w:szCs w:val="21"/>
          <w:lang w:eastAsia="zh-CN" w:bidi="ar"/>
        </w:rPr>
        <w:t>乙方</w:t>
      </w:r>
      <w:r>
        <w:rPr>
          <w:rFonts w:hint="eastAsia" w:ascii="宋体" w:hAnsi="宋体" w:eastAsia="宋体" w:cs="宋体"/>
          <w:sz w:val="21"/>
          <w:szCs w:val="21"/>
          <w:lang w:bidi="ar"/>
        </w:rPr>
        <w:t>的工作人员为</w:t>
      </w:r>
      <w:r>
        <w:rPr>
          <w:rFonts w:hint="eastAsia" w:ascii="宋体" w:hAnsi="宋体" w:eastAsia="宋体" w:cs="宋体"/>
          <w:sz w:val="21"/>
          <w:szCs w:val="21"/>
          <w:lang w:eastAsia="zh-CN" w:bidi="ar"/>
        </w:rPr>
        <w:t>甲方</w:t>
      </w:r>
      <w:r>
        <w:rPr>
          <w:rFonts w:hint="eastAsia" w:ascii="宋体" w:hAnsi="宋体" w:eastAsia="宋体" w:cs="宋体"/>
          <w:sz w:val="21"/>
          <w:szCs w:val="21"/>
          <w:lang w:bidi="ar"/>
        </w:rPr>
        <w:t>服刑人员传带物品的。</w:t>
      </w:r>
    </w:p>
    <w:p w14:paraId="2DB9959F">
      <w:pPr>
        <w:pageBreakBefore w:val="0"/>
        <w:widowControl w:val="0"/>
        <w:numPr>
          <w:ilvl w:val="0"/>
          <w:numId w:val="36"/>
        </w:numPr>
        <w:tabs>
          <w:tab w:val="left" w:pos="851"/>
        </w:tabs>
        <w:kinsoku/>
        <w:wordWrap/>
        <w:overflowPunct/>
        <w:topLinePunct w:val="0"/>
        <w:bidi w:val="0"/>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bidi="ar"/>
        </w:rPr>
        <w:t>乙方</w:t>
      </w:r>
      <w:r>
        <w:rPr>
          <w:rFonts w:hint="eastAsia" w:ascii="宋体" w:hAnsi="宋体" w:eastAsia="宋体" w:cs="宋体"/>
          <w:sz w:val="21"/>
          <w:szCs w:val="21"/>
          <w:lang w:bidi="ar"/>
        </w:rPr>
        <w:t>签订合同后，在提供的第一次样板不符合需求，在经过与</w:t>
      </w:r>
      <w:r>
        <w:rPr>
          <w:rFonts w:hint="eastAsia" w:ascii="宋体" w:hAnsi="宋体" w:eastAsia="宋体" w:cs="宋体"/>
          <w:sz w:val="21"/>
          <w:szCs w:val="21"/>
          <w:lang w:eastAsia="zh-CN" w:bidi="ar"/>
        </w:rPr>
        <w:t>甲方</w:t>
      </w:r>
      <w:r>
        <w:rPr>
          <w:rFonts w:hint="eastAsia" w:ascii="宋体" w:hAnsi="宋体" w:eastAsia="宋体" w:cs="宋体"/>
          <w:sz w:val="21"/>
          <w:szCs w:val="21"/>
          <w:lang w:bidi="ar"/>
        </w:rPr>
        <w:t>沟通，纠正后，提供的第二次样板如仍无法达到验收小组验收的；</w:t>
      </w:r>
    </w:p>
    <w:p w14:paraId="19F1C1BA">
      <w:pPr>
        <w:pageBreakBefore w:val="0"/>
        <w:widowControl w:val="0"/>
        <w:numPr>
          <w:ilvl w:val="0"/>
          <w:numId w:val="37"/>
        </w:numPr>
        <w:tabs>
          <w:tab w:val="left" w:pos="630"/>
        </w:tabs>
        <w:kinsoku/>
        <w:wordWrap/>
        <w:overflowPunct/>
        <w:topLinePunct w:val="0"/>
        <w:bidi w:val="0"/>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lang w:bidi="ar"/>
        </w:rPr>
        <w:t>必须依据国家有关法律法规要求建立健全各项管理制度，有明确的安全责任人，保证货物质量。因所供货物质量、运输、安装调试原因导致发生安全事故，除解除合同、扣除全部履约保证金外，</w:t>
      </w:r>
      <w:r>
        <w:rPr>
          <w:rFonts w:hint="eastAsia" w:ascii="宋体" w:hAnsi="宋体" w:eastAsia="宋体" w:cs="宋体"/>
          <w:sz w:val="21"/>
          <w:szCs w:val="21"/>
          <w:lang w:eastAsia="zh-CN" w:bidi="ar"/>
        </w:rPr>
        <w:t>乙方</w:t>
      </w:r>
      <w:r>
        <w:rPr>
          <w:rFonts w:hint="eastAsia" w:ascii="宋体" w:hAnsi="宋体" w:eastAsia="宋体" w:cs="宋体"/>
          <w:sz w:val="21"/>
          <w:szCs w:val="21"/>
          <w:lang w:bidi="ar"/>
        </w:rPr>
        <w:t>还需承担全部损失。</w:t>
      </w:r>
    </w:p>
    <w:p w14:paraId="5CAE59DC">
      <w:pPr>
        <w:pageBreakBefore w:val="0"/>
        <w:widowControl w:val="0"/>
        <w:numPr>
          <w:ilvl w:val="0"/>
          <w:numId w:val="37"/>
        </w:numPr>
        <w:tabs>
          <w:tab w:val="left" w:pos="630"/>
        </w:tabs>
        <w:kinsoku/>
        <w:wordWrap/>
        <w:overflowPunct/>
        <w:topLinePunct w:val="0"/>
        <w:bidi w:val="0"/>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lang w:bidi="ar"/>
        </w:rPr>
        <w:t>由于</w:t>
      </w:r>
      <w:r>
        <w:rPr>
          <w:rFonts w:hint="eastAsia" w:ascii="宋体" w:hAnsi="宋体" w:eastAsia="宋体" w:cs="宋体"/>
          <w:sz w:val="21"/>
          <w:szCs w:val="21"/>
          <w:lang w:eastAsia="zh-CN" w:bidi="ar"/>
        </w:rPr>
        <w:t>甲方</w:t>
      </w:r>
      <w:r>
        <w:rPr>
          <w:rFonts w:hint="eastAsia" w:ascii="宋体" w:hAnsi="宋体" w:eastAsia="宋体" w:cs="宋体"/>
          <w:sz w:val="21"/>
          <w:szCs w:val="21"/>
          <w:lang w:bidi="ar"/>
        </w:rPr>
        <w:t>工作的特殊性，</w:t>
      </w:r>
      <w:r>
        <w:rPr>
          <w:rFonts w:hint="eastAsia" w:ascii="宋体" w:hAnsi="宋体" w:eastAsia="宋体" w:cs="宋体"/>
          <w:sz w:val="21"/>
          <w:szCs w:val="21"/>
          <w:lang w:eastAsia="zh-CN" w:bidi="ar"/>
        </w:rPr>
        <w:t>乙方</w:t>
      </w:r>
      <w:r>
        <w:rPr>
          <w:rFonts w:hint="eastAsia" w:ascii="宋体" w:hAnsi="宋体" w:eastAsia="宋体" w:cs="宋体"/>
          <w:sz w:val="21"/>
          <w:szCs w:val="21"/>
          <w:lang w:bidi="ar"/>
        </w:rPr>
        <w:t>应做好本单位工作人员的教育工作，遵守监狱出入监门和物品携带等各项规定。</w:t>
      </w:r>
    </w:p>
    <w:p w14:paraId="4C66AE69">
      <w:pPr>
        <w:pageBreakBefore w:val="0"/>
        <w:widowControl w:val="0"/>
        <w:numPr>
          <w:ilvl w:val="0"/>
          <w:numId w:val="37"/>
        </w:numPr>
        <w:tabs>
          <w:tab w:val="left" w:pos="630"/>
        </w:tabs>
        <w:kinsoku/>
        <w:wordWrap/>
        <w:overflowPunct/>
        <w:topLinePunct w:val="0"/>
        <w:bidi w:val="0"/>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bidi="ar"/>
        </w:rPr>
        <w:t>乙方</w:t>
      </w:r>
      <w:r>
        <w:rPr>
          <w:rFonts w:hint="eastAsia" w:ascii="宋体" w:hAnsi="宋体" w:eastAsia="宋体" w:cs="宋体"/>
          <w:sz w:val="21"/>
          <w:szCs w:val="21"/>
          <w:lang w:bidi="ar"/>
        </w:rPr>
        <w:t>应严格按竞价要求和合同约定的内容供货，</w:t>
      </w:r>
      <w:r>
        <w:rPr>
          <w:rFonts w:hint="eastAsia" w:ascii="宋体" w:hAnsi="宋体" w:eastAsia="宋体" w:cs="宋体"/>
          <w:sz w:val="21"/>
          <w:szCs w:val="21"/>
          <w:lang w:eastAsia="zh-CN" w:bidi="ar"/>
        </w:rPr>
        <w:t>乙方</w:t>
      </w:r>
      <w:r>
        <w:rPr>
          <w:rFonts w:hint="eastAsia" w:ascii="宋体" w:hAnsi="宋体" w:eastAsia="宋体" w:cs="宋体"/>
          <w:sz w:val="21"/>
          <w:szCs w:val="21"/>
          <w:lang w:bidi="ar"/>
        </w:rPr>
        <w:t>不得转包、分包，否则</w:t>
      </w:r>
      <w:r>
        <w:rPr>
          <w:rFonts w:hint="eastAsia" w:ascii="宋体" w:hAnsi="宋体" w:eastAsia="宋体" w:cs="宋体"/>
          <w:sz w:val="21"/>
          <w:szCs w:val="21"/>
          <w:lang w:eastAsia="zh-CN" w:bidi="ar"/>
        </w:rPr>
        <w:t>甲方</w:t>
      </w:r>
      <w:r>
        <w:rPr>
          <w:rFonts w:hint="eastAsia" w:ascii="宋体" w:hAnsi="宋体" w:eastAsia="宋体" w:cs="宋体"/>
          <w:sz w:val="21"/>
          <w:szCs w:val="21"/>
          <w:lang w:bidi="ar"/>
        </w:rPr>
        <w:t>有权单方面终止合同，项目另行处理，</w:t>
      </w:r>
      <w:r>
        <w:rPr>
          <w:rFonts w:hint="eastAsia" w:ascii="宋体" w:hAnsi="宋体" w:eastAsia="宋体" w:cs="宋体"/>
          <w:sz w:val="21"/>
          <w:szCs w:val="21"/>
          <w:lang w:eastAsia="zh-CN" w:bidi="ar"/>
        </w:rPr>
        <w:t>乙方</w:t>
      </w:r>
      <w:r>
        <w:rPr>
          <w:rFonts w:hint="eastAsia" w:ascii="宋体" w:hAnsi="宋体" w:eastAsia="宋体" w:cs="宋体"/>
          <w:sz w:val="21"/>
          <w:szCs w:val="21"/>
          <w:lang w:bidi="ar"/>
        </w:rPr>
        <w:t>承担由此造成的经济损失，履约保证金不退还。</w:t>
      </w:r>
    </w:p>
    <w:p w14:paraId="580BAEE6">
      <w:pPr>
        <w:pageBreakBefore w:val="0"/>
        <w:widowControl w:val="0"/>
        <w:numPr>
          <w:ilvl w:val="0"/>
          <w:numId w:val="37"/>
        </w:numPr>
        <w:tabs>
          <w:tab w:val="left" w:pos="630"/>
        </w:tabs>
        <w:kinsoku/>
        <w:wordWrap/>
        <w:overflowPunct/>
        <w:topLinePunct w:val="0"/>
        <w:bidi w:val="0"/>
        <w:spacing w:line="360" w:lineRule="auto"/>
        <w:textAlignment w:val="auto"/>
        <w:outlineLvl w:val="9"/>
        <w:rPr>
          <w:rFonts w:hint="eastAsia" w:ascii="宋体" w:hAnsi="宋体" w:eastAsia="宋体" w:cs="宋体"/>
          <w:b/>
          <w:sz w:val="21"/>
          <w:szCs w:val="21"/>
        </w:rPr>
      </w:pPr>
      <w:r>
        <w:rPr>
          <w:rFonts w:hint="eastAsia" w:ascii="宋体" w:hAnsi="宋体" w:eastAsia="宋体" w:cs="宋体"/>
          <w:sz w:val="21"/>
          <w:szCs w:val="21"/>
          <w:lang w:eastAsia="zh-CN" w:bidi="ar"/>
        </w:rPr>
        <w:t>乙方</w:t>
      </w:r>
      <w:r>
        <w:rPr>
          <w:rFonts w:hint="eastAsia" w:ascii="宋体" w:hAnsi="宋体" w:eastAsia="宋体" w:cs="宋体"/>
          <w:sz w:val="21"/>
          <w:szCs w:val="21"/>
          <w:lang w:bidi="ar"/>
        </w:rPr>
        <w:t>须按提供货物的销售额开具增值税专用发票。</w:t>
      </w:r>
    </w:p>
    <w:p w14:paraId="6ECDFB00">
      <w:pPr>
        <w:pageBreakBefore w:val="0"/>
        <w:widowControl w:val="0"/>
        <w:numPr>
          <w:ilvl w:val="0"/>
          <w:numId w:val="38"/>
        </w:numPr>
        <w:kinsoku/>
        <w:wordWrap/>
        <w:overflowPunct/>
        <w:topLinePunct w:val="0"/>
        <w:autoSpaceDE w:val="0"/>
        <w:autoSpaceDN w:val="0"/>
        <w:bidi w:val="0"/>
        <w:adjustRightInd w:val="0"/>
        <w:spacing w:line="360" w:lineRule="auto"/>
        <w:jc w:val="left"/>
        <w:textAlignment w:val="auto"/>
        <w:outlineLvl w:val="9"/>
        <w:rPr>
          <w:rFonts w:hint="eastAsia" w:ascii="宋体" w:hAnsi="宋体" w:eastAsia="宋体" w:cs="宋体"/>
          <w:b/>
          <w:sz w:val="21"/>
          <w:szCs w:val="21"/>
        </w:rPr>
      </w:pPr>
      <w:r>
        <w:rPr>
          <w:rFonts w:hint="eastAsia" w:ascii="宋体" w:hAnsi="宋体" w:eastAsia="宋体" w:cs="宋体"/>
          <w:b/>
          <w:sz w:val="21"/>
          <w:szCs w:val="21"/>
        </w:rPr>
        <w:t>违约责任与赔偿损失</w:t>
      </w:r>
    </w:p>
    <w:p w14:paraId="50D946AB">
      <w:pPr>
        <w:pStyle w:val="25"/>
        <w:pageBreakBefore w:val="0"/>
        <w:widowControl w:val="0"/>
        <w:numPr>
          <w:ilvl w:val="1"/>
          <w:numId w:val="39"/>
        </w:numPr>
        <w:kinsoku/>
        <w:wordWrap/>
        <w:overflowPunct/>
        <w:topLinePunct w:val="0"/>
        <w:bidi w:val="0"/>
        <w:spacing w:line="360" w:lineRule="auto"/>
        <w:ind w:left="426" w:firstLineChars="0"/>
        <w:textAlignment w:val="auto"/>
        <w:outlineLvl w:val="9"/>
        <w:rPr>
          <w:rFonts w:hint="eastAsia" w:ascii="宋体" w:hAnsi="宋体" w:eastAsia="宋体" w:cs="宋体"/>
          <w:b w:val="0"/>
          <w:i w:val="0"/>
          <w:sz w:val="21"/>
          <w:szCs w:val="21"/>
        </w:rPr>
      </w:pPr>
      <w:r>
        <w:rPr>
          <w:rFonts w:hint="eastAsia" w:ascii="宋体" w:hAnsi="宋体" w:eastAsia="宋体" w:cs="宋体"/>
          <w:b w:val="0"/>
          <w:i w:val="0"/>
          <w:sz w:val="21"/>
          <w:szCs w:val="21"/>
        </w:rPr>
        <w:t>乙方提供的货物不符合采购文件、响应文件或本合同规定的，甲方有权拒收，解除合同及扣除全部的履约保证金。</w:t>
      </w:r>
    </w:p>
    <w:p w14:paraId="2853026F">
      <w:pPr>
        <w:pStyle w:val="25"/>
        <w:pageBreakBefore w:val="0"/>
        <w:widowControl w:val="0"/>
        <w:numPr>
          <w:ilvl w:val="1"/>
          <w:numId w:val="39"/>
        </w:numPr>
        <w:kinsoku/>
        <w:wordWrap/>
        <w:overflowPunct/>
        <w:topLinePunct w:val="0"/>
        <w:bidi w:val="0"/>
        <w:spacing w:line="360" w:lineRule="auto"/>
        <w:ind w:left="426" w:firstLineChars="0"/>
        <w:textAlignment w:val="auto"/>
        <w:outlineLvl w:val="9"/>
        <w:rPr>
          <w:rFonts w:hint="eastAsia" w:ascii="宋体" w:hAnsi="宋体" w:eastAsia="宋体" w:cs="宋体"/>
          <w:b w:val="0"/>
          <w:i w:val="0"/>
          <w:sz w:val="21"/>
          <w:szCs w:val="21"/>
        </w:rPr>
      </w:pPr>
      <w:r>
        <w:rPr>
          <w:rFonts w:hint="eastAsia" w:ascii="宋体" w:hAnsi="宋体" w:eastAsia="宋体" w:cs="宋体"/>
          <w:b w:val="0"/>
          <w:i w:val="0"/>
          <w:sz w:val="21"/>
          <w:szCs w:val="21"/>
        </w:rPr>
        <w:t>乙方未能按本合同规定的交货时间交付货物的，从逾期之日起每日按本合同总价3‰的数额向甲方支付违约金；逾期5天以上（含5天）的，甲方有权终止合同，要求乙方支付违约金，并且给甲方造成的经济损失由乙方承担赔偿责任。</w:t>
      </w:r>
    </w:p>
    <w:p w14:paraId="57D0744F">
      <w:pPr>
        <w:pStyle w:val="25"/>
        <w:pageBreakBefore w:val="0"/>
        <w:widowControl w:val="0"/>
        <w:numPr>
          <w:ilvl w:val="1"/>
          <w:numId w:val="39"/>
        </w:numPr>
        <w:kinsoku/>
        <w:wordWrap/>
        <w:overflowPunct/>
        <w:topLinePunct w:val="0"/>
        <w:bidi w:val="0"/>
        <w:spacing w:line="360" w:lineRule="auto"/>
        <w:ind w:left="426" w:firstLineChars="0"/>
        <w:textAlignment w:val="auto"/>
        <w:outlineLvl w:val="9"/>
        <w:rPr>
          <w:rFonts w:hint="eastAsia" w:ascii="宋体" w:hAnsi="宋体" w:eastAsia="宋体" w:cs="宋体"/>
          <w:b w:val="0"/>
          <w:i w:val="0"/>
          <w:sz w:val="21"/>
          <w:szCs w:val="21"/>
        </w:rPr>
      </w:pPr>
      <w:r>
        <w:rPr>
          <w:rFonts w:hint="eastAsia" w:ascii="宋体" w:hAnsi="宋体" w:eastAsia="宋体" w:cs="宋体"/>
          <w:b w:val="0"/>
          <w:i w:val="0"/>
          <w:sz w:val="21"/>
          <w:szCs w:val="21"/>
        </w:rPr>
        <w:t>其它违约责任按《中华人民共和国民法典》处理。</w:t>
      </w:r>
    </w:p>
    <w:p w14:paraId="6DACFBCF">
      <w:pPr>
        <w:pageBreakBefore w:val="0"/>
        <w:widowControl w:val="0"/>
        <w:numPr>
          <w:ilvl w:val="0"/>
          <w:numId w:val="27"/>
        </w:numPr>
        <w:tabs>
          <w:tab w:val="left" w:pos="1259"/>
        </w:tabs>
        <w:kinsoku/>
        <w:wordWrap/>
        <w:overflowPunct/>
        <w:topLinePunct w:val="0"/>
        <w:bidi w:val="0"/>
        <w:spacing w:before="0" w:after="0" w:line="360" w:lineRule="auto"/>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知识产权产权归属</w:t>
      </w:r>
    </w:p>
    <w:p w14:paraId="28A41832">
      <w:pPr>
        <w:pageBreakBefore w:val="0"/>
        <w:widowControl w:val="0"/>
        <w:kinsoku/>
        <w:wordWrap/>
        <w:overflowPunct/>
        <w:topLinePunct w:val="0"/>
        <w:bidi w:val="0"/>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乙方保证合同项下提供的货物不侵犯任何第三方的专利权、商标权或其它知识产权。否则，乙方须承担对第三方的专利权、商标权或其它知识产权的侵权责任并承担因此而发生的所有费用及给甲方造成的损失。</w:t>
      </w:r>
    </w:p>
    <w:p w14:paraId="72408DB8">
      <w:pPr>
        <w:pageBreakBefore w:val="0"/>
        <w:widowControl w:val="0"/>
        <w:numPr>
          <w:ilvl w:val="0"/>
          <w:numId w:val="27"/>
        </w:numPr>
        <w:tabs>
          <w:tab w:val="left" w:pos="1259"/>
        </w:tabs>
        <w:kinsoku/>
        <w:wordWrap/>
        <w:overflowPunct/>
        <w:topLinePunct w:val="0"/>
        <w:bidi w:val="0"/>
        <w:spacing w:before="0" w:after="0" w:line="360" w:lineRule="auto"/>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保密</w:t>
      </w:r>
    </w:p>
    <w:p w14:paraId="389407E1">
      <w:pPr>
        <w:pStyle w:val="97"/>
        <w:pageBreakBefore w:val="0"/>
        <w:widowControl w:val="0"/>
        <w:numPr>
          <w:ilvl w:val="0"/>
          <w:numId w:val="40"/>
        </w:numPr>
        <w:tabs>
          <w:tab w:val="left" w:pos="900"/>
        </w:tabs>
        <w:kinsoku/>
        <w:wordWrap/>
        <w:overflowPunct/>
        <w:topLinePunct w:val="0"/>
        <w:bidi w:val="0"/>
        <w:spacing w:line="360" w:lineRule="auto"/>
        <w:ind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项目实施过程中至乙方正式向甲方交付技术文档资料时止，乙方必须采取措施对本合同实施过程中的数据、源代码、技术文档等资料保密，否则，由于乙方过错导致的上述资料泄密的，乙方必须承担一切责任。项目完成后，甲、乙双方均有责任对本合同的技术保密承担责任。</w:t>
      </w:r>
    </w:p>
    <w:p w14:paraId="5462C401">
      <w:pPr>
        <w:pStyle w:val="97"/>
        <w:pageBreakBefore w:val="0"/>
        <w:widowControl w:val="0"/>
        <w:numPr>
          <w:ilvl w:val="0"/>
          <w:numId w:val="40"/>
        </w:numPr>
        <w:tabs>
          <w:tab w:val="left" w:pos="900"/>
        </w:tabs>
        <w:kinsoku/>
        <w:wordWrap/>
        <w:overflowPunct/>
        <w:topLinePunct w:val="0"/>
        <w:bidi w:val="0"/>
        <w:spacing w:line="360" w:lineRule="auto"/>
        <w:ind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未经乙方事先书面同意，甲方不得将由乙方为本合同提供的条文、规格、计划、图纸、模型、样品或资料提供给与本合同无关的任何第三方，不得将其用于履行本合同之外的其它用途。即使向与履行本合同有关的人员提供，也应注意保密并限于履行合同所必需的范围。</w:t>
      </w:r>
    </w:p>
    <w:p w14:paraId="3A3340CD">
      <w:pPr>
        <w:pStyle w:val="97"/>
        <w:pageBreakBefore w:val="0"/>
        <w:widowControl w:val="0"/>
        <w:numPr>
          <w:ilvl w:val="0"/>
          <w:numId w:val="40"/>
        </w:numPr>
        <w:tabs>
          <w:tab w:val="left" w:pos="900"/>
        </w:tabs>
        <w:kinsoku/>
        <w:wordWrap/>
        <w:overflowPunct/>
        <w:topLinePunct w:val="0"/>
        <w:bidi w:val="0"/>
        <w:spacing w:line="360" w:lineRule="auto"/>
        <w:ind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除了合同本身之外，上款所列举的任何物件均是乙方的财产。如果乙方有要求，甲方在完成合同后应将这些物件及全部复制件还给乙方。</w:t>
      </w:r>
    </w:p>
    <w:p w14:paraId="37C6CE04">
      <w:pPr>
        <w:pageBreakBefore w:val="0"/>
        <w:widowControl w:val="0"/>
        <w:numPr>
          <w:ilvl w:val="0"/>
          <w:numId w:val="27"/>
        </w:numPr>
        <w:tabs>
          <w:tab w:val="left" w:pos="1259"/>
        </w:tabs>
        <w:kinsoku/>
        <w:wordWrap/>
        <w:overflowPunct/>
        <w:topLinePunct w:val="0"/>
        <w:bidi w:val="0"/>
        <w:spacing w:before="0" w:after="0" w:line="360" w:lineRule="auto"/>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其他事宜</w:t>
      </w:r>
    </w:p>
    <w:p w14:paraId="0F2FB99D">
      <w:pPr>
        <w:pStyle w:val="97"/>
        <w:pageBreakBefore w:val="0"/>
        <w:widowControl w:val="0"/>
        <w:numPr>
          <w:ilvl w:val="0"/>
          <w:numId w:val="41"/>
        </w:numPr>
        <w:kinsoku/>
        <w:wordWrap/>
        <w:overflowPunct/>
        <w:topLinePunct w:val="0"/>
        <w:bidi w:val="0"/>
        <w:spacing w:line="360" w:lineRule="auto"/>
        <w:ind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解决合同纠纷的方式：双方应通过友好协商解决，若经协商不能达成协议时，则诉讼至阳春市人民法院。</w:t>
      </w:r>
    </w:p>
    <w:p w14:paraId="52FC0124">
      <w:pPr>
        <w:pStyle w:val="97"/>
        <w:pageBreakBefore w:val="0"/>
        <w:widowControl w:val="0"/>
        <w:numPr>
          <w:ilvl w:val="0"/>
          <w:numId w:val="41"/>
        </w:numPr>
        <w:kinsoku/>
        <w:wordWrap/>
        <w:overflowPunct/>
        <w:topLinePunct w:val="0"/>
        <w:bidi w:val="0"/>
        <w:spacing w:line="360" w:lineRule="auto"/>
        <w:ind w:firstLineChars="0"/>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遵守甲方监管区</w:t>
      </w:r>
      <w:r>
        <w:rPr>
          <w:rFonts w:hint="eastAsia" w:ascii="宋体" w:hAnsi="宋体" w:eastAsia="宋体" w:cs="宋体"/>
          <w:sz w:val="21"/>
          <w:szCs w:val="21"/>
        </w:rPr>
        <w:t>外来人员进入监管区的管理制度。</w:t>
      </w:r>
    </w:p>
    <w:p w14:paraId="115492FB">
      <w:pPr>
        <w:pageBreakBefore w:val="0"/>
        <w:widowControl w:val="0"/>
        <w:numPr>
          <w:ilvl w:val="0"/>
          <w:numId w:val="27"/>
        </w:numPr>
        <w:tabs>
          <w:tab w:val="left" w:pos="1259"/>
        </w:tabs>
        <w:kinsoku/>
        <w:wordWrap/>
        <w:overflowPunct/>
        <w:topLinePunct w:val="0"/>
        <w:bidi w:val="0"/>
        <w:spacing w:before="0" w:after="0" w:line="360" w:lineRule="auto"/>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不可抗力</w:t>
      </w:r>
    </w:p>
    <w:p w14:paraId="46EFD449">
      <w:pPr>
        <w:pageBreakBefore w:val="0"/>
        <w:widowControl w:val="0"/>
        <w:kinsoku/>
        <w:wordWrap/>
        <w:overflowPunct/>
        <w:topLinePunct w:val="0"/>
        <w:bidi w:val="0"/>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4772B35D">
      <w:pPr>
        <w:pageBreakBefore w:val="0"/>
        <w:widowControl w:val="0"/>
        <w:numPr>
          <w:ilvl w:val="0"/>
          <w:numId w:val="27"/>
        </w:numPr>
        <w:tabs>
          <w:tab w:val="left" w:pos="1259"/>
        </w:tabs>
        <w:kinsoku/>
        <w:wordWrap/>
        <w:overflowPunct/>
        <w:topLinePunct w:val="0"/>
        <w:bidi w:val="0"/>
        <w:spacing w:before="0" w:after="0" w:line="360" w:lineRule="auto"/>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税费</w:t>
      </w:r>
    </w:p>
    <w:p w14:paraId="732FF7D3">
      <w:pPr>
        <w:pageBreakBefore w:val="0"/>
        <w:widowControl w:val="0"/>
        <w:kinsoku/>
        <w:wordWrap/>
        <w:overflowPunct/>
        <w:topLinePunct w:val="0"/>
        <w:bidi w:val="0"/>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在中国境内、外发生的与本合同执行有关的一切税费均由乙方负担。</w:t>
      </w:r>
    </w:p>
    <w:p w14:paraId="24106EFA">
      <w:pPr>
        <w:pageBreakBefore w:val="0"/>
        <w:widowControl w:val="0"/>
        <w:numPr>
          <w:ilvl w:val="0"/>
          <w:numId w:val="27"/>
        </w:numPr>
        <w:tabs>
          <w:tab w:val="left" w:pos="1259"/>
        </w:tabs>
        <w:kinsoku/>
        <w:wordWrap/>
        <w:overflowPunct/>
        <w:topLinePunct w:val="0"/>
        <w:bidi w:val="0"/>
        <w:spacing w:before="0" w:after="0" w:line="360" w:lineRule="auto"/>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其它</w:t>
      </w:r>
    </w:p>
    <w:p w14:paraId="550081AE">
      <w:pPr>
        <w:pStyle w:val="97"/>
        <w:pageBreakBefore w:val="0"/>
        <w:widowControl w:val="0"/>
        <w:numPr>
          <w:ilvl w:val="0"/>
          <w:numId w:val="42"/>
        </w:numPr>
        <w:kinsoku/>
        <w:wordWrap/>
        <w:overflowPunct/>
        <w:topLinePunct w:val="0"/>
        <w:bidi w:val="0"/>
        <w:spacing w:line="360" w:lineRule="auto"/>
        <w:ind w:firstLineChars="0"/>
        <w:textAlignment w:val="auto"/>
        <w:outlineLvl w:val="9"/>
        <w:rPr>
          <w:rFonts w:hint="eastAsia" w:ascii="宋体" w:hAnsi="宋体" w:eastAsia="宋体" w:cs="宋体"/>
          <w:b/>
          <w:sz w:val="21"/>
          <w:szCs w:val="21"/>
        </w:rPr>
      </w:pPr>
      <w:r>
        <w:rPr>
          <w:rFonts w:hint="eastAsia" w:ascii="宋体" w:hAnsi="宋体" w:eastAsia="宋体" w:cs="宋体"/>
          <w:sz w:val="21"/>
          <w:szCs w:val="21"/>
        </w:rPr>
        <w:t>本合同所有附件、采购文件、响应文件、成交通知书均为合同的有效组成部分，与本合同具有同等法律效力。</w:t>
      </w:r>
    </w:p>
    <w:p w14:paraId="6CF82A30">
      <w:pPr>
        <w:pStyle w:val="97"/>
        <w:pageBreakBefore w:val="0"/>
        <w:widowControl w:val="0"/>
        <w:numPr>
          <w:ilvl w:val="0"/>
          <w:numId w:val="42"/>
        </w:numPr>
        <w:kinsoku/>
        <w:wordWrap/>
        <w:overflowPunct/>
        <w:topLinePunct w:val="0"/>
        <w:bidi w:val="0"/>
        <w:spacing w:line="360" w:lineRule="auto"/>
        <w:ind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在执行本合同的过程中，所有经双方签署确认的文件（包括会议纪要、补充协议、往来信函）即成为本合同的有效组成部分。</w:t>
      </w:r>
    </w:p>
    <w:p w14:paraId="3E36410E">
      <w:pPr>
        <w:pStyle w:val="97"/>
        <w:pageBreakBefore w:val="0"/>
        <w:widowControl w:val="0"/>
        <w:numPr>
          <w:ilvl w:val="0"/>
          <w:numId w:val="42"/>
        </w:numPr>
        <w:kinsoku/>
        <w:wordWrap/>
        <w:overflowPunct/>
        <w:topLinePunct w:val="0"/>
        <w:bidi w:val="0"/>
        <w:spacing w:line="360" w:lineRule="auto"/>
        <w:ind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如一方地址、电话、传真号码有变更，应在变更当日内书面通知对方，否则，应承担相应责任。 </w:t>
      </w:r>
    </w:p>
    <w:p w14:paraId="61CAB0A1">
      <w:pPr>
        <w:pStyle w:val="97"/>
        <w:pageBreakBefore w:val="0"/>
        <w:widowControl w:val="0"/>
        <w:numPr>
          <w:ilvl w:val="0"/>
          <w:numId w:val="42"/>
        </w:numPr>
        <w:kinsoku/>
        <w:wordWrap/>
        <w:overflowPunct/>
        <w:topLinePunct w:val="0"/>
        <w:bidi w:val="0"/>
        <w:spacing w:line="360" w:lineRule="auto"/>
        <w:ind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除甲方事先书面同意外，乙方不得部分或全部转让其应履行的合同项下的义务。</w:t>
      </w:r>
    </w:p>
    <w:p w14:paraId="6AC0C2B2">
      <w:pPr>
        <w:pageBreakBefore w:val="0"/>
        <w:widowControl w:val="0"/>
        <w:numPr>
          <w:ilvl w:val="0"/>
          <w:numId w:val="27"/>
        </w:numPr>
        <w:tabs>
          <w:tab w:val="left" w:pos="1259"/>
        </w:tabs>
        <w:kinsoku/>
        <w:wordWrap/>
        <w:overflowPunct/>
        <w:topLinePunct w:val="0"/>
        <w:bidi w:val="0"/>
        <w:spacing w:before="0" w:after="0" w:line="360" w:lineRule="auto"/>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合同生效：</w:t>
      </w:r>
    </w:p>
    <w:p w14:paraId="3ACA3C88">
      <w:pPr>
        <w:pStyle w:val="97"/>
        <w:pageBreakBefore w:val="0"/>
        <w:widowControl w:val="0"/>
        <w:numPr>
          <w:ilvl w:val="0"/>
          <w:numId w:val="43"/>
        </w:numPr>
        <w:kinsoku/>
        <w:wordWrap/>
        <w:overflowPunct/>
        <w:topLinePunct w:val="0"/>
        <w:bidi w:val="0"/>
        <w:spacing w:line="360" w:lineRule="auto"/>
        <w:ind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合同自甲乙双方法人代表或其授权代表签字盖章之日起生效。</w:t>
      </w:r>
    </w:p>
    <w:p w14:paraId="2C7CAA18">
      <w:pPr>
        <w:pStyle w:val="97"/>
        <w:pageBreakBefore w:val="0"/>
        <w:widowControl w:val="0"/>
        <w:numPr>
          <w:ilvl w:val="0"/>
          <w:numId w:val="43"/>
        </w:numPr>
        <w:kinsoku/>
        <w:wordWrap/>
        <w:overflowPunct/>
        <w:topLinePunct w:val="0"/>
        <w:bidi w:val="0"/>
        <w:spacing w:line="360" w:lineRule="auto"/>
        <w:ind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合同壹式</w:t>
      </w:r>
      <w:r>
        <w:rPr>
          <w:rFonts w:hint="eastAsia" w:ascii="宋体" w:hAnsi="宋体" w:eastAsia="宋体" w:cs="宋体"/>
          <w:sz w:val="21"/>
          <w:szCs w:val="21"/>
          <w:u w:val="single"/>
        </w:rPr>
        <w:t xml:space="preserve">    </w:t>
      </w:r>
      <w:r>
        <w:rPr>
          <w:rFonts w:hint="eastAsia" w:ascii="宋体" w:hAnsi="宋体" w:eastAsia="宋体" w:cs="宋体"/>
          <w:sz w:val="21"/>
          <w:szCs w:val="21"/>
        </w:rPr>
        <w:t>份，其中甲乙双方各执</w:t>
      </w:r>
      <w:r>
        <w:rPr>
          <w:rFonts w:hint="eastAsia" w:ascii="宋体" w:hAnsi="宋体" w:eastAsia="宋体" w:cs="宋体"/>
          <w:sz w:val="21"/>
          <w:szCs w:val="21"/>
          <w:u w:val="single"/>
        </w:rPr>
        <w:t xml:space="preserve">    </w:t>
      </w:r>
      <w:r>
        <w:rPr>
          <w:rFonts w:hint="eastAsia" w:ascii="宋体" w:hAnsi="宋体" w:eastAsia="宋体" w:cs="宋体"/>
          <w:sz w:val="21"/>
          <w:szCs w:val="21"/>
        </w:rPr>
        <w:t>份。</w:t>
      </w:r>
    </w:p>
    <w:p w14:paraId="0DF56A50">
      <w:pPr>
        <w:pStyle w:val="25"/>
        <w:pageBreakBefore w:val="0"/>
        <w:widowControl w:val="0"/>
        <w:kinsoku/>
        <w:wordWrap/>
        <w:overflowPunct/>
        <w:topLinePunct w:val="0"/>
        <w:bidi w:val="0"/>
        <w:spacing w:line="360" w:lineRule="auto"/>
        <w:ind w:firstLine="211"/>
        <w:textAlignment w:val="auto"/>
        <w:outlineLvl w:val="9"/>
        <w:rPr>
          <w:rFonts w:hint="eastAsia" w:ascii="宋体" w:hAnsi="宋体" w:eastAsia="宋体" w:cs="宋体"/>
          <w:sz w:val="21"/>
          <w:szCs w:val="21"/>
        </w:rPr>
      </w:pPr>
    </w:p>
    <w:p w14:paraId="20314997">
      <w:pPr>
        <w:pageBreakBefore w:val="0"/>
        <w:widowControl w:val="0"/>
        <w:kinsoku/>
        <w:wordWrap/>
        <w:overflowPunct/>
        <w:topLinePunct w:val="0"/>
        <w:bidi w:val="0"/>
        <w:spacing w:line="360" w:lineRule="auto"/>
        <w:textAlignment w:val="auto"/>
        <w:outlineLvl w:val="9"/>
        <w:rPr>
          <w:rFonts w:hint="eastAsia" w:ascii="宋体" w:hAnsi="宋体" w:eastAsia="宋体" w:cs="宋体"/>
          <w:b/>
          <w:sz w:val="21"/>
          <w:szCs w:val="21"/>
        </w:rPr>
      </w:pPr>
      <w:r>
        <w:rPr>
          <w:rFonts w:hint="eastAsia" w:ascii="宋体" w:hAnsi="宋体" w:eastAsia="宋体" w:cs="宋体"/>
          <w:b/>
          <w:sz w:val="21"/>
          <w:szCs w:val="21"/>
        </w:rPr>
        <w:t>甲方（盖章）：                                乙方（盖章）：</w:t>
      </w:r>
    </w:p>
    <w:p w14:paraId="6634305C">
      <w:pPr>
        <w:pageBreakBefore w:val="0"/>
        <w:widowControl w:val="0"/>
        <w:kinsoku/>
        <w:wordWrap/>
        <w:overflowPunct/>
        <w:topLinePunct w:val="0"/>
        <w:bidi w:val="0"/>
        <w:spacing w:line="360" w:lineRule="auto"/>
        <w:textAlignment w:val="auto"/>
        <w:outlineLvl w:val="9"/>
        <w:rPr>
          <w:rFonts w:hint="eastAsia" w:ascii="宋体" w:hAnsi="宋体" w:eastAsia="宋体" w:cs="宋体"/>
          <w:b/>
          <w:sz w:val="21"/>
          <w:szCs w:val="21"/>
        </w:rPr>
      </w:pPr>
      <w:r>
        <w:rPr>
          <w:rFonts w:hint="eastAsia" w:ascii="宋体" w:hAnsi="宋体" w:eastAsia="宋体" w:cs="宋体"/>
          <w:b/>
          <w:sz w:val="21"/>
          <w:szCs w:val="21"/>
        </w:rPr>
        <w:t xml:space="preserve">代表：                                        代表： </w:t>
      </w:r>
    </w:p>
    <w:p w14:paraId="4A136B1A">
      <w:pPr>
        <w:pageBreakBefore w:val="0"/>
        <w:widowControl w:val="0"/>
        <w:kinsoku/>
        <w:wordWrap/>
        <w:overflowPunct/>
        <w:topLinePunct w:val="0"/>
        <w:bidi w:val="0"/>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rPr>
        <w:t>签定地点：</w:t>
      </w:r>
    </w:p>
    <w:p w14:paraId="620BC6BB">
      <w:pPr>
        <w:pageBreakBefore w:val="0"/>
        <w:widowControl w:val="0"/>
        <w:kinsoku/>
        <w:wordWrap/>
        <w:overflowPunct/>
        <w:topLinePunct w:val="0"/>
        <w:bidi w:val="0"/>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签定日期：        年     月    日             签定日期：    年    月    日    </w:t>
      </w:r>
    </w:p>
    <w:p w14:paraId="74D6BA4C">
      <w:pPr>
        <w:pageBreakBefore w:val="0"/>
        <w:widowControl w:val="0"/>
        <w:kinsoku/>
        <w:wordWrap/>
        <w:overflowPunct/>
        <w:topLinePunct w:val="0"/>
        <w:bidi w:val="0"/>
        <w:spacing w:line="360" w:lineRule="auto"/>
        <w:ind w:firstLine="4830"/>
        <w:textAlignment w:val="auto"/>
        <w:outlineLvl w:val="9"/>
        <w:rPr>
          <w:rFonts w:hint="eastAsia" w:ascii="宋体" w:hAnsi="宋体" w:eastAsia="宋体" w:cs="宋体"/>
          <w:sz w:val="21"/>
          <w:szCs w:val="21"/>
        </w:rPr>
      </w:pPr>
      <w:r>
        <w:rPr>
          <w:rFonts w:hint="eastAsia" w:ascii="宋体" w:hAnsi="宋体" w:eastAsia="宋体" w:cs="宋体"/>
          <w:sz w:val="21"/>
          <w:szCs w:val="21"/>
        </w:rPr>
        <w:t>开户名称：</w:t>
      </w:r>
    </w:p>
    <w:p w14:paraId="5C4746DC">
      <w:pPr>
        <w:pageBreakBefore w:val="0"/>
        <w:widowControl w:val="0"/>
        <w:kinsoku/>
        <w:wordWrap/>
        <w:overflowPunct/>
        <w:topLinePunct w:val="0"/>
        <w:bidi w:val="0"/>
        <w:spacing w:line="360" w:lineRule="auto"/>
        <w:ind w:firstLine="4830"/>
        <w:textAlignment w:val="auto"/>
        <w:outlineLvl w:val="9"/>
        <w:rPr>
          <w:rFonts w:hint="eastAsia" w:ascii="宋体" w:hAnsi="宋体" w:eastAsia="宋体" w:cs="宋体"/>
          <w:sz w:val="21"/>
          <w:szCs w:val="21"/>
        </w:rPr>
      </w:pPr>
      <w:r>
        <w:rPr>
          <w:rFonts w:hint="eastAsia" w:ascii="宋体" w:hAnsi="宋体" w:eastAsia="宋体" w:cs="宋体"/>
          <w:sz w:val="21"/>
          <w:szCs w:val="21"/>
        </w:rPr>
        <w:t>银行账号：</w:t>
      </w:r>
    </w:p>
    <w:p w14:paraId="72E9925B">
      <w:pPr>
        <w:pageBreakBefore w:val="0"/>
        <w:widowControl w:val="0"/>
        <w:kinsoku/>
        <w:wordWrap/>
        <w:overflowPunct/>
        <w:topLinePunct w:val="0"/>
        <w:bidi w:val="0"/>
        <w:spacing w:line="360" w:lineRule="auto"/>
        <w:ind w:firstLine="4830"/>
        <w:textAlignment w:val="auto"/>
        <w:outlineLvl w:val="9"/>
        <w:rPr>
          <w:rFonts w:hint="eastAsia" w:ascii="宋体" w:hAnsi="宋体" w:eastAsia="宋体" w:cs="宋体"/>
          <w:sz w:val="21"/>
          <w:szCs w:val="21"/>
        </w:rPr>
      </w:pPr>
      <w:r>
        <w:rPr>
          <w:rFonts w:hint="eastAsia" w:ascii="宋体" w:hAnsi="宋体" w:eastAsia="宋体" w:cs="宋体"/>
          <w:sz w:val="21"/>
          <w:szCs w:val="21"/>
        </w:rPr>
        <w:t>开 户 行：</w:t>
      </w:r>
    </w:p>
    <w:p w14:paraId="459118FF">
      <w:pPr>
        <w:pStyle w:val="13"/>
        <w:rPr>
          <w:rFonts w:hint="eastAsia" w:ascii="宋体" w:hAnsi="宋体" w:eastAsia="宋体" w:cs="宋体"/>
          <w:sz w:val="21"/>
          <w:szCs w:val="21"/>
        </w:rPr>
      </w:pPr>
    </w:p>
    <w:sectPr>
      <w:headerReference r:id="rId5" w:type="default"/>
      <w:footerReference r:id="rId6"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Droid Sans Fallback">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0BD76">
    <w:pPr>
      <w:pStyle w:val="18"/>
      <w:jc w:val="center"/>
    </w:pPr>
  </w:p>
  <w:p w14:paraId="2F9E8462">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6D5A4">
    <w:pPr>
      <w:pStyle w:val="18"/>
      <w:jc w:val="center"/>
    </w:pPr>
  </w:p>
  <w:p w14:paraId="119C9609">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7F489">
    <w:pPr>
      <w:pStyle w:val="18"/>
      <w:jc w:val="center"/>
    </w:pPr>
  </w:p>
  <w:p w14:paraId="1BD66337">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5604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4B997D"/>
    <w:multiLevelType w:val="singleLevel"/>
    <w:tmpl w:val="814B997D"/>
    <w:lvl w:ilvl="0" w:tentative="0">
      <w:start w:val="1"/>
      <w:numFmt w:val="chineseCounting"/>
      <w:suff w:val="nothing"/>
      <w:lvlText w:val="（%1）"/>
      <w:lvlJc w:val="left"/>
      <w:pPr>
        <w:ind w:left="0" w:firstLine="420"/>
      </w:pPr>
      <w:rPr>
        <w:rFonts w:hint="eastAsia"/>
      </w:rPr>
    </w:lvl>
  </w:abstractNum>
  <w:abstractNum w:abstractNumId="1">
    <w:nsid w:val="8323F33A"/>
    <w:multiLevelType w:val="multilevel"/>
    <w:tmpl w:val="8323F33A"/>
    <w:lvl w:ilvl="0" w:tentative="0">
      <w:start w:val="1"/>
      <w:numFmt w:val="decimal"/>
      <w:suff w:val="nothing"/>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83EFE86E"/>
    <w:multiLevelType w:val="multilevel"/>
    <w:tmpl w:val="83EFE86E"/>
    <w:lvl w:ilvl="0" w:tentative="0">
      <w:start w:val="1"/>
      <w:numFmt w:val="decimal"/>
      <w:suff w:val="nothing"/>
      <w:lvlText w:val="%1."/>
      <w:lvlJc w:val="left"/>
      <w:pPr>
        <w:ind w:left="630" w:hanging="420"/>
      </w:pPr>
      <w:rPr>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8CBFC112"/>
    <w:multiLevelType w:val="multilevel"/>
    <w:tmpl w:val="8CBFC112"/>
    <w:lvl w:ilvl="0" w:tentative="0">
      <w:start w:val="1"/>
      <w:numFmt w:val="decimal"/>
      <w:suff w:val="nothing"/>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99F7B836"/>
    <w:multiLevelType w:val="singleLevel"/>
    <w:tmpl w:val="99F7B836"/>
    <w:lvl w:ilvl="0" w:tentative="0">
      <w:start w:val="1"/>
      <w:numFmt w:val="chineseCounting"/>
      <w:suff w:val="nothing"/>
      <w:lvlText w:val="（%1）"/>
      <w:lvlJc w:val="left"/>
      <w:pPr>
        <w:ind w:left="0" w:firstLine="420"/>
      </w:pPr>
      <w:rPr>
        <w:rFonts w:hint="eastAsia"/>
      </w:rPr>
    </w:lvl>
  </w:abstractNum>
  <w:abstractNum w:abstractNumId="5">
    <w:nsid w:val="A5FC4F55"/>
    <w:multiLevelType w:val="singleLevel"/>
    <w:tmpl w:val="A5FC4F55"/>
    <w:lvl w:ilvl="0" w:tentative="0">
      <w:start w:val="1"/>
      <w:numFmt w:val="decimal"/>
      <w:suff w:val="nothing"/>
      <w:lvlText w:val="%1．"/>
      <w:lvlJc w:val="left"/>
      <w:pPr>
        <w:ind w:left="0" w:firstLine="400"/>
      </w:pPr>
      <w:rPr>
        <w:rFonts w:hint="default"/>
      </w:rPr>
    </w:lvl>
  </w:abstractNum>
  <w:abstractNum w:abstractNumId="6">
    <w:nsid w:val="B8299390"/>
    <w:multiLevelType w:val="singleLevel"/>
    <w:tmpl w:val="B8299390"/>
    <w:lvl w:ilvl="0" w:tentative="0">
      <w:start w:val="1"/>
      <w:numFmt w:val="chineseCounting"/>
      <w:suff w:val="nothing"/>
      <w:lvlText w:val="（%1）"/>
      <w:lvlJc w:val="left"/>
      <w:pPr>
        <w:ind w:left="0" w:firstLine="420"/>
      </w:pPr>
      <w:rPr>
        <w:rFonts w:hint="eastAsia"/>
      </w:rPr>
    </w:lvl>
  </w:abstractNum>
  <w:abstractNum w:abstractNumId="7">
    <w:nsid w:val="C411B366"/>
    <w:multiLevelType w:val="singleLevel"/>
    <w:tmpl w:val="C411B366"/>
    <w:lvl w:ilvl="0" w:tentative="0">
      <w:start w:val="1"/>
      <w:numFmt w:val="decimal"/>
      <w:suff w:val="nothing"/>
      <w:lvlText w:val="%1．"/>
      <w:lvlJc w:val="left"/>
      <w:pPr>
        <w:ind w:left="0" w:firstLine="400"/>
      </w:pPr>
      <w:rPr>
        <w:rFonts w:hint="default"/>
      </w:rPr>
    </w:lvl>
  </w:abstractNum>
  <w:abstractNum w:abstractNumId="8">
    <w:nsid w:val="C45CA5DA"/>
    <w:multiLevelType w:val="multilevel"/>
    <w:tmpl w:val="C45CA5DA"/>
    <w:lvl w:ilvl="0" w:tentative="0">
      <w:start w:val="1"/>
      <w:numFmt w:val="chineseCountingThousand"/>
      <w:suff w:val="nothing"/>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D227BCA5"/>
    <w:multiLevelType w:val="multilevel"/>
    <w:tmpl w:val="D227BCA5"/>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suff w:val="nothing"/>
      <w:lvlText w:val="（%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5"/>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0">
    <w:nsid w:val="DBA09010"/>
    <w:multiLevelType w:val="singleLevel"/>
    <w:tmpl w:val="DBA09010"/>
    <w:lvl w:ilvl="0" w:tentative="0">
      <w:start w:val="1"/>
      <w:numFmt w:val="chineseCounting"/>
      <w:suff w:val="nothing"/>
      <w:lvlText w:val="（%1）"/>
      <w:lvlJc w:val="left"/>
      <w:pPr>
        <w:ind w:left="0" w:firstLine="420"/>
      </w:pPr>
      <w:rPr>
        <w:rFonts w:hint="eastAsia"/>
      </w:rPr>
    </w:lvl>
  </w:abstractNum>
  <w:abstractNum w:abstractNumId="11">
    <w:nsid w:val="F067D94F"/>
    <w:multiLevelType w:val="singleLevel"/>
    <w:tmpl w:val="F067D94F"/>
    <w:lvl w:ilvl="0" w:tentative="0">
      <w:start w:val="1"/>
      <w:numFmt w:val="decimal"/>
      <w:suff w:val="nothing"/>
      <w:lvlText w:val="%1．"/>
      <w:lvlJc w:val="left"/>
      <w:pPr>
        <w:ind w:left="0" w:firstLine="400"/>
      </w:pPr>
      <w:rPr>
        <w:rFonts w:hint="default"/>
      </w:rPr>
    </w:lvl>
  </w:abstractNum>
  <w:abstractNum w:abstractNumId="12">
    <w:nsid w:val="0038BE26"/>
    <w:multiLevelType w:val="singleLevel"/>
    <w:tmpl w:val="0038BE26"/>
    <w:lvl w:ilvl="0" w:tentative="0">
      <w:start w:val="1"/>
      <w:numFmt w:val="decimal"/>
      <w:suff w:val="nothing"/>
      <w:lvlText w:val="%1．"/>
      <w:lvlJc w:val="left"/>
      <w:pPr>
        <w:ind w:left="0" w:firstLine="400"/>
      </w:pPr>
      <w:rPr>
        <w:rFonts w:hint="default"/>
      </w:rPr>
    </w:lvl>
  </w:abstractNum>
  <w:abstractNum w:abstractNumId="13">
    <w:nsid w:val="0094E122"/>
    <w:multiLevelType w:val="singleLevel"/>
    <w:tmpl w:val="0094E122"/>
    <w:lvl w:ilvl="0" w:tentative="0">
      <w:start w:val="1"/>
      <w:numFmt w:val="chineseCounting"/>
      <w:suff w:val="nothing"/>
      <w:lvlText w:val="（%1）"/>
      <w:lvlJc w:val="left"/>
      <w:pPr>
        <w:ind w:left="0" w:firstLine="420"/>
      </w:pPr>
      <w:rPr>
        <w:rFonts w:hint="eastAsia"/>
      </w:rPr>
    </w:lvl>
  </w:abstractNum>
  <w:abstractNum w:abstractNumId="14">
    <w:nsid w:val="0BAD12BF"/>
    <w:multiLevelType w:val="multilevel"/>
    <w:tmpl w:val="0BAD12BF"/>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0D866976"/>
    <w:multiLevelType w:val="singleLevel"/>
    <w:tmpl w:val="0D866976"/>
    <w:lvl w:ilvl="0" w:tentative="0">
      <w:start w:val="1"/>
      <w:numFmt w:val="decimal"/>
      <w:suff w:val="nothing"/>
      <w:lvlText w:val="%1．"/>
      <w:lvlJc w:val="left"/>
      <w:pPr>
        <w:ind w:left="0" w:firstLine="400"/>
      </w:pPr>
      <w:rPr>
        <w:rFonts w:hint="default"/>
      </w:rPr>
    </w:lvl>
  </w:abstractNum>
  <w:abstractNum w:abstractNumId="16">
    <w:nsid w:val="0FAC74CB"/>
    <w:multiLevelType w:val="multilevel"/>
    <w:tmpl w:val="0FAC74CB"/>
    <w:lvl w:ilvl="0" w:tentative="0">
      <w:start w:val="1"/>
      <w:numFmt w:val="decimal"/>
      <w:lvlText w:val="%1."/>
      <w:lvlJc w:val="left"/>
      <w:pPr>
        <w:ind w:left="420" w:hanging="420"/>
      </w:pPr>
    </w:lvl>
    <w:lvl w:ilvl="1" w:tentative="0">
      <w:start w:val="1"/>
      <w:numFmt w:val="decimal"/>
      <w:suff w:val="nothing"/>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FDBEB9C"/>
    <w:multiLevelType w:val="singleLevel"/>
    <w:tmpl w:val="0FDBEB9C"/>
    <w:lvl w:ilvl="0" w:tentative="0">
      <w:start w:val="1"/>
      <w:numFmt w:val="decimal"/>
      <w:suff w:val="nothing"/>
      <w:lvlText w:val="%1．"/>
      <w:lvlJc w:val="left"/>
      <w:pPr>
        <w:ind w:left="0" w:firstLine="400"/>
      </w:pPr>
      <w:rPr>
        <w:rFonts w:hint="default"/>
      </w:rPr>
    </w:lvl>
  </w:abstractNum>
  <w:abstractNum w:abstractNumId="18">
    <w:nsid w:val="116A6910"/>
    <w:multiLevelType w:val="singleLevel"/>
    <w:tmpl w:val="116A6910"/>
    <w:lvl w:ilvl="0" w:tentative="0">
      <w:start w:val="1"/>
      <w:numFmt w:val="decimal"/>
      <w:suff w:val="nothing"/>
      <w:lvlText w:val="%1．"/>
      <w:lvlJc w:val="left"/>
      <w:pPr>
        <w:ind w:left="0" w:firstLine="400"/>
      </w:pPr>
      <w:rPr>
        <w:rFonts w:hint="default"/>
      </w:rPr>
    </w:lvl>
  </w:abstractNum>
  <w:abstractNum w:abstractNumId="19">
    <w:nsid w:val="1237B8B7"/>
    <w:multiLevelType w:val="multilevel"/>
    <w:tmpl w:val="1237B8B7"/>
    <w:lvl w:ilvl="0" w:tentative="0">
      <w:start w:val="1"/>
      <w:numFmt w:val="decimal"/>
      <w:suff w:val="nothing"/>
      <w:lvlText w:val="%1."/>
      <w:lvlJc w:val="left"/>
      <w:pPr>
        <w:ind w:left="704" w:hanging="420"/>
      </w:pPr>
      <w:rPr>
        <w:b w:val="0"/>
        <w:bCs w:val="0"/>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0">
    <w:nsid w:val="125214F2"/>
    <w:multiLevelType w:val="multilevel"/>
    <w:tmpl w:val="125214F2"/>
    <w:lvl w:ilvl="0" w:tentative="0">
      <w:start w:val="1"/>
      <w:numFmt w:val="decimal"/>
      <w:suff w:val="nothing"/>
      <w:lvlText w:val="%1."/>
      <w:lvlJc w:val="left"/>
      <w:pPr>
        <w:ind w:left="846" w:hanging="420"/>
      </w:pPr>
      <w:rPr>
        <w:rFonts w:hint="eastAsia"/>
      </w:rPr>
    </w:lvl>
    <w:lvl w:ilvl="1" w:tentative="0">
      <w:start w:val="1"/>
      <w:numFmt w:val="lowerLetter"/>
      <w:lvlText w:val="%2)"/>
      <w:lvlJc w:val="left"/>
      <w:pPr>
        <w:ind w:left="1266" w:hanging="420"/>
      </w:pPr>
      <w:rPr>
        <w:rFonts w:hint="eastAsia"/>
      </w:rPr>
    </w:lvl>
    <w:lvl w:ilvl="2" w:tentative="0">
      <w:start w:val="1"/>
      <w:numFmt w:val="lowerRoman"/>
      <w:lvlText w:val="%3."/>
      <w:lvlJc w:val="right"/>
      <w:pPr>
        <w:ind w:left="1686" w:hanging="420"/>
      </w:pPr>
      <w:rPr>
        <w:rFonts w:hint="eastAsia"/>
      </w:rPr>
    </w:lvl>
    <w:lvl w:ilvl="3" w:tentative="0">
      <w:start w:val="1"/>
      <w:numFmt w:val="decimal"/>
      <w:lvlText w:val="%4."/>
      <w:lvlJc w:val="left"/>
      <w:pPr>
        <w:ind w:left="2106" w:hanging="420"/>
      </w:pPr>
      <w:rPr>
        <w:rFonts w:hint="eastAsia"/>
      </w:rPr>
    </w:lvl>
    <w:lvl w:ilvl="4" w:tentative="0">
      <w:start w:val="1"/>
      <w:numFmt w:val="lowerLetter"/>
      <w:lvlText w:val="%5)"/>
      <w:lvlJc w:val="left"/>
      <w:pPr>
        <w:ind w:left="2526" w:hanging="420"/>
      </w:pPr>
      <w:rPr>
        <w:rFonts w:hint="eastAsia"/>
      </w:rPr>
    </w:lvl>
    <w:lvl w:ilvl="5" w:tentative="0">
      <w:start w:val="1"/>
      <w:numFmt w:val="lowerRoman"/>
      <w:lvlText w:val="%6."/>
      <w:lvlJc w:val="right"/>
      <w:pPr>
        <w:ind w:left="2946" w:hanging="420"/>
      </w:pPr>
      <w:rPr>
        <w:rFonts w:hint="eastAsia"/>
      </w:rPr>
    </w:lvl>
    <w:lvl w:ilvl="6" w:tentative="0">
      <w:start w:val="1"/>
      <w:numFmt w:val="decimal"/>
      <w:lvlText w:val="%7."/>
      <w:lvlJc w:val="left"/>
      <w:pPr>
        <w:ind w:left="3366" w:hanging="420"/>
      </w:pPr>
      <w:rPr>
        <w:rFonts w:hint="eastAsia"/>
      </w:rPr>
    </w:lvl>
    <w:lvl w:ilvl="7" w:tentative="0">
      <w:start w:val="1"/>
      <w:numFmt w:val="lowerLetter"/>
      <w:lvlText w:val="%8)"/>
      <w:lvlJc w:val="left"/>
      <w:pPr>
        <w:ind w:left="3786" w:hanging="420"/>
      </w:pPr>
      <w:rPr>
        <w:rFonts w:hint="eastAsia"/>
      </w:rPr>
    </w:lvl>
    <w:lvl w:ilvl="8" w:tentative="0">
      <w:start w:val="1"/>
      <w:numFmt w:val="lowerRoman"/>
      <w:lvlText w:val="%9."/>
      <w:lvlJc w:val="right"/>
      <w:pPr>
        <w:ind w:left="4206" w:hanging="420"/>
      </w:pPr>
      <w:rPr>
        <w:rFonts w:hint="eastAsia"/>
      </w:rPr>
    </w:lvl>
  </w:abstractNum>
  <w:abstractNum w:abstractNumId="21">
    <w:nsid w:val="152A3D44"/>
    <w:multiLevelType w:val="singleLevel"/>
    <w:tmpl w:val="152A3D44"/>
    <w:lvl w:ilvl="0" w:tentative="0">
      <w:start w:val="1"/>
      <w:numFmt w:val="decimal"/>
      <w:suff w:val="nothing"/>
      <w:lvlText w:val="%1．"/>
      <w:lvlJc w:val="left"/>
      <w:pPr>
        <w:ind w:left="0" w:firstLine="400"/>
      </w:pPr>
      <w:rPr>
        <w:rFonts w:hint="default"/>
      </w:rPr>
    </w:lvl>
  </w:abstractNum>
  <w:abstractNum w:abstractNumId="22">
    <w:nsid w:val="1688A518"/>
    <w:multiLevelType w:val="multilevel"/>
    <w:tmpl w:val="1688A518"/>
    <w:lvl w:ilvl="0" w:tentative="0">
      <w:start w:val="1"/>
      <w:numFmt w:val="decimal"/>
      <w:pStyle w:val="113"/>
      <w:lvlText w:val="%1."/>
      <w:lvlJc w:val="left"/>
      <w:pPr>
        <w:ind w:left="635" w:hanging="425"/>
      </w:pPr>
      <w:rPr>
        <w:rFonts w:hint="default" w:ascii="Times New Roman" w:hAnsi="Times New Roman" w:cs="Times New Roman"/>
      </w:rPr>
    </w:lvl>
    <w:lvl w:ilvl="1" w:tentative="0">
      <w:start w:val="1"/>
      <w:numFmt w:val="decimal"/>
      <w:lvlText w:val="%1.%2."/>
      <w:lvlJc w:val="left"/>
      <w:pPr>
        <w:ind w:left="567" w:hanging="567"/>
      </w:pPr>
      <w:rPr>
        <w:rFonts w:hint="default" w:ascii="Times New Roman" w:hAnsi="Times New Roman" w:cs="Times New Roman"/>
      </w:rPr>
    </w:lvl>
    <w:lvl w:ilvl="2" w:tentative="0">
      <w:start w:val="1"/>
      <w:numFmt w:val="decimal"/>
      <w:lvlText w:val="%1.%2.%3."/>
      <w:lvlJc w:val="left"/>
      <w:pPr>
        <w:ind w:left="709" w:hanging="709"/>
      </w:pPr>
      <w:rPr>
        <w:rFonts w:hint="default" w:ascii="Times New Roman" w:hAnsi="Times New Roman" w:cs="Times New Roman"/>
        <w:b w:val="0"/>
        <w:bCs/>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5" w:hanging="1135"/>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3">
    <w:nsid w:val="1C3CF767"/>
    <w:multiLevelType w:val="multilevel"/>
    <w:tmpl w:val="1C3CF767"/>
    <w:lvl w:ilvl="0" w:tentative="0">
      <w:start w:val="1"/>
      <w:numFmt w:val="decimal"/>
      <w:suff w:val="nothing"/>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4">
    <w:nsid w:val="1DA56F76"/>
    <w:multiLevelType w:val="multilevel"/>
    <w:tmpl w:val="1DA56F76"/>
    <w:lvl w:ilvl="0" w:tentative="0">
      <w:start w:val="1"/>
      <w:numFmt w:val="decimal"/>
      <w:suff w:val="nothing"/>
      <w:lvlText w:val="(%1)"/>
      <w:lvlJc w:val="left"/>
      <w:pPr>
        <w:ind w:left="1200" w:hanging="360"/>
      </w:pPr>
    </w:lvl>
    <w:lvl w:ilvl="1" w:tentative="0">
      <w:start w:val="1"/>
      <w:numFmt w:val="decimal"/>
      <w:lvlText w:val="%2．"/>
      <w:lvlJc w:val="left"/>
      <w:pPr>
        <w:tabs>
          <w:tab w:val="left" w:pos="1620"/>
        </w:tabs>
        <w:ind w:left="1620" w:hanging="360"/>
      </w:pPr>
      <w:rPr>
        <w:rFonts w:hint="eastAsia" w:ascii="宋体" w:hAnsi="宋体" w:eastAsia="宋体" w:cs="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25">
    <w:nsid w:val="272839DB"/>
    <w:multiLevelType w:val="singleLevel"/>
    <w:tmpl w:val="272839DB"/>
    <w:lvl w:ilvl="0" w:tentative="0">
      <w:start w:val="1"/>
      <w:numFmt w:val="decimal"/>
      <w:suff w:val="nothing"/>
      <w:lvlText w:val="%1．"/>
      <w:lvlJc w:val="left"/>
      <w:pPr>
        <w:ind w:left="0" w:firstLine="400"/>
      </w:pPr>
      <w:rPr>
        <w:rFonts w:hint="default"/>
      </w:rPr>
    </w:lvl>
  </w:abstractNum>
  <w:abstractNum w:abstractNumId="26">
    <w:nsid w:val="297C8625"/>
    <w:multiLevelType w:val="multilevel"/>
    <w:tmpl w:val="297C8625"/>
    <w:lvl w:ilvl="0" w:tentative="0">
      <w:start w:val="1"/>
      <w:numFmt w:val="chineseCountingThousand"/>
      <w:suff w:val="nothing"/>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B86134B"/>
    <w:multiLevelType w:val="singleLevel"/>
    <w:tmpl w:val="2B86134B"/>
    <w:lvl w:ilvl="0" w:tentative="0">
      <w:start w:val="1"/>
      <w:numFmt w:val="chineseCounting"/>
      <w:suff w:val="nothing"/>
      <w:lvlText w:val="（%1）"/>
      <w:lvlJc w:val="left"/>
      <w:pPr>
        <w:ind w:left="0" w:firstLine="420"/>
      </w:pPr>
      <w:rPr>
        <w:rFonts w:hint="eastAsia"/>
      </w:rPr>
    </w:lvl>
  </w:abstractNum>
  <w:abstractNum w:abstractNumId="28">
    <w:nsid w:val="2F0E7B2B"/>
    <w:multiLevelType w:val="multilevel"/>
    <w:tmpl w:val="2F0E7B2B"/>
    <w:lvl w:ilvl="0" w:tentative="0">
      <w:start w:val="1"/>
      <w:numFmt w:val="decimal"/>
      <w:suff w:val="nothing"/>
      <w:lvlText w:val="(%1)"/>
      <w:lvlJc w:val="left"/>
      <w:pPr>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29">
    <w:nsid w:val="3BC24A79"/>
    <w:multiLevelType w:val="singleLevel"/>
    <w:tmpl w:val="3BC24A79"/>
    <w:lvl w:ilvl="0" w:tentative="0">
      <w:start w:val="1"/>
      <w:numFmt w:val="chineseCounting"/>
      <w:suff w:val="nothing"/>
      <w:lvlText w:val="%1、"/>
      <w:lvlJc w:val="left"/>
      <w:pPr>
        <w:ind w:left="0" w:firstLine="420"/>
      </w:pPr>
      <w:rPr>
        <w:rFonts w:hint="eastAsia"/>
      </w:rPr>
    </w:lvl>
  </w:abstractNum>
  <w:abstractNum w:abstractNumId="30">
    <w:nsid w:val="4AD835F3"/>
    <w:multiLevelType w:val="singleLevel"/>
    <w:tmpl w:val="4AD835F3"/>
    <w:lvl w:ilvl="0" w:tentative="0">
      <w:start w:val="1"/>
      <w:numFmt w:val="decimal"/>
      <w:suff w:val="nothing"/>
      <w:lvlText w:val="%1．"/>
      <w:lvlJc w:val="left"/>
      <w:pPr>
        <w:ind w:left="0" w:firstLine="400"/>
      </w:pPr>
      <w:rPr>
        <w:rFonts w:hint="default"/>
      </w:rPr>
    </w:lvl>
  </w:abstractNum>
  <w:abstractNum w:abstractNumId="31">
    <w:nsid w:val="4C86A9C9"/>
    <w:multiLevelType w:val="singleLevel"/>
    <w:tmpl w:val="4C86A9C9"/>
    <w:lvl w:ilvl="0" w:tentative="0">
      <w:start w:val="1"/>
      <w:numFmt w:val="decimal"/>
      <w:suff w:val="nothing"/>
      <w:lvlText w:val="%1．"/>
      <w:lvlJc w:val="left"/>
      <w:pPr>
        <w:ind w:left="0" w:firstLine="400"/>
      </w:pPr>
      <w:rPr>
        <w:rFonts w:hint="default"/>
      </w:rPr>
    </w:lvl>
  </w:abstractNum>
  <w:abstractNum w:abstractNumId="32">
    <w:nsid w:val="4EAD7B5F"/>
    <w:multiLevelType w:val="multilevel"/>
    <w:tmpl w:val="4EAD7B5F"/>
    <w:lvl w:ilvl="0" w:tentative="0">
      <w:start w:val="1"/>
      <w:numFmt w:val="chineseCountingThousand"/>
      <w:suff w:val="nothing"/>
      <w:lvlText w:val="(%1)"/>
      <w:lvlJc w:val="left"/>
      <w:pPr>
        <w:ind w:left="420" w:hanging="420"/>
      </w:pPr>
      <w:rPr>
        <w:rFonts w:hint="eastAsia"/>
        <w:b w:val="0"/>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3">
    <w:nsid w:val="51AEA07C"/>
    <w:multiLevelType w:val="singleLevel"/>
    <w:tmpl w:val="51AEA07C"/>
    <w:lvl w:ilvl="0" w:tentative="0">
      <w:start w:val="1"/>
      <w:numFmt w:val="chineseCounting"/>
      <w:suff w:val="nothing"/>
      <w:lvlText w:val="（%1）"/>
      <w:lvlJc w:val="left"/>
      <w:pPr>
        <w:ind w:left="0" w:firstLine="420"/>
      </w:pPr>
      <w:rPr>
        <w:rFonts w:hint="eastAsia"/>
      </w:rPr>
    </w:lvl>
  </w:abstractNum>
  <w:abstractNum w:abstractNumId="34">
    <w:nsid w:val="563204C8"/>
    <w:multiLevelType w:val="multilevel"/>
    <w:tmpl w:val="563204C8"/>
    <w:lvl w:ilvl="0" w:tentative="0">
      <w:start w:val="1"/>
      <w:numFmt w:val="chineseCountingThousand"/>
      <w:lvlText w:val="(%1)"/>
      <w:lvlJc w:val="left"/>
      <w:pPr>
        <w:ind w:left="420" w:hanging="420"/>
      </w:pPr>
      <w:rPr>
        <w:rFonts w:hint="eastAsia"/>
      </w:rPr>
    </w:lvl>
    <w:lvl w:ilvl="1" w:tentative="0">
      <w:start w:val="1"/>
      <w:numFmt w:val="chineseCountingThousand"/>
      <w:suff w:val="nothing"/>
      <w:lvlText w:val="(%2)"/>
      <w:lvlJc w:val="left"/>
      <w:pPr>
        <w:ind w:left="840" w:hanging="420"/>
      </w:pPr>
      <w:rPr>
        <w:rFonts w:hint="eastAsia"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5D57F0F6"/>
    <w:multiLevelType w:val="multilevel"/>
    <w:tmpl w:val="5D57F0F6"/>
    <w:lvl w:ilvl="0" w:tentative="0">
      <w:start w:val="1"/>
      <w:numFmt w:val="decimal"/>
      <w:lvlText w:val="%1."/>
      <w:lvlJc w:val="left"/>
      <w:pPr>
        <w:ind w:left="420" w:hanging="420"/>
      </w:pPr>
    </w:lvl>
    <w:lvl w:ilvl="1" w:tentative="0">
      <w:start w:val="1"/>
      <w:numFmt w:val="decimal"/>
      <w:suff w:val="nothing"/>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622C0ABC"/>
    <w:multiLevelType w:val="multilevel"/>
    <w:tmpl w:val="622C0ABC"/>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626314E6"/>
    <w:multiLevelType w:val="multilevel"/>
    <w:tmpl w:val="626314E6"/>
    <w:lvl w:ilvl="0" w:tentative="0">
      <w:start w:val="1"/>
      <w:numFmt w:val="decimal"/>
      <w:suff w:val="nothing"/>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8">
    <w:nsid w:val="6323EE21"/>
    <w:multiLevelType w:val="multilevel"/>
    <w:tmpl w:val="6323EE21"/>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9">
    <w:nsid w:val="67BC6897"/>
    <w:multiLevelType w:val="multilevel"/>
    <w:tmpl w:val="67BC6897"/>
    <w:lvl w:ilvl="0" w:tentative="0">
      <w:start w:val="1"/>
      <w:numFmt w:val="chineseCountingThousand"/>
      <w:suff w:val="nothing"/>
      <w:lvlText w:val="%1、"/>
      <w:lvlJc w:val="left"/>
      <w:pPr>
        <w:ind w:left="420" w:hanging="420"/>
      </w:pPr>
      <w:rPr>
        <w:rFonts w:hint="eastAsia"/>
        <w:b/>
        <w:lang w:val="en-US"/>
      </w:rPr>
    </w:lvl>
    <w:lvl w:ilvl="1" w:tentative="0">
      <w:start w:val="1"/>
      <w:numFmt w:val="lowerLetter"/>
      <w:lvlText w:val="%2)"/>
      <w:lvlJc w:val="left"/>
      <w:pPr>
        <w:tabs>
          <w:tab w:val="left" w:pos="420"/>
        </w:tabs>
        <w:ind w:left="420" w:hanging="420"/>
      </w:pPr>
      <w:rPr>
        <w:rFonts w:hint="eastAsia"/>
      </w:rPr>
    </w:lvl>
    <w:lvl w:ilvl="2" w:tentative="0">
      <w:start w:val="1"/>
      <w:numFmt w:val="lowerRoman"/>
      <w:lvlText w:val="%3."/>
      <w:lvlJc w:val="right"/>
      <w:pPr>
        <w:tabs>
          <w:tab w:val="left" w:pos="840"/>
        </w:tabs>
        <w:ind w:left="840" w:hanging="420"/>
      </w:pPr>
      <w:rPr>
        <w:rFonts w:hint="eastAsia"/>
      </w:rPr>
    </w:lvl>
    <w:lvl w:ilvl="3" w:tentative="0">
      <w:start w:val="1"/>
      <w:numFmt w:val="decimal"/>
      <w:lvlText w:val="%4."/>
      <w:lvlJc w:val="left"/>
      <w:pPr>
        <w:tabs>
          <w:tab w:val="left" w:pos="1260"/>
        </w:tabs>
        <w:ind w:left="1260" w:hanging="420"/>
      </w:pPr>
      <w:rPr>
        <w:rFonts w:hint="eastAsia"/>
      </w:rPr>
    </w:lvl>
    <w:lvl w:ilvl="4" w:tentative="0">
      <w:start w:val="1"/>
      <w:numFmt w:val="lowerLetter"/>
      <w:lvlText w:val="%5)"/>
      <w:lvlJc w:val="left"/>
      <w:pPr>
        <w:tabs>
          <w:tab w:val="left" w:pos="1680"/>
        </w:tabs>
        <w:ind w:left="1680" w:hanging="420"/>
      </w:pPr>
      <w:rPr>
        <w:rFonts w:hint="eastAsia"/>
      </w:rPr>
    </w:lvl>
    <w:lvl w:ilvl="5" w:tentative="0">
      <w:start w:val="1"/>
      <w:numFmt w:val="lowerRoman"/>
      <w:lvlText w:val="%6."/>
      <w:lvlJc w:val="right"/>
      <w:pPr>
        <w:tabs>
          <w:tab w:val="left" w:pos="2100"/>
        </w:tabs>
        <w:ind w:left="2100" w:hanging="420"/>
      </w:pPr>
      <w:rPr>
        <w:rFonts w:hint="eastAsia"/>
      </w:rPr>
    </w:lvl>
    <w:lvl w:ilvl="6" w:tentative="0">
      <w:start w:val="1"/>
      <w:numFmt w:val="decimal"/>
      <w:lvlText w:val="%7."/>
      <w:lvlJc w:val="left"/>
      <w:pPr>
        <w:tabs>
          <w:tab w:val="left" w:pos="2520"/>
        </w:tabs>
        <w:ind w:left="2520" w:hanging="420"/>
      </w:pPr>
      <w:rPr>
        <w:rFonts w:hint="eastAsia"/>
      </w:rPr>
    </w:lvl>
    <w:lvl w:ilvl="7" w:tentative="0">
      <w:start w:val="1"/>
      <w:numFmt w:val="lowerLetter"/>
      <w:lvlText w:val="%8)"/>
      <w:lvlJc w:val="left"/>
      <w:pPr>
        <w:tabs>
          <w:tab w:val="left" w:pos="2940"/>
        </w:tabs>
        <w:ind w:left="2940" w:hanging="420"/>
      </w:pPr>
      <w:rPr>
        <w:rFonts w:hint="eastAsia"/>
      </w:rPr>
    </w:lvl>
    <w:lvl w:ilvl="8" w:tentative="0">
      <w:start w:val="1"/>
      <w:numFmt w:val="lowerRoman"/>
      <w:lvlText w:val="%9."/>
      <w:lvlJc w:val="right"/>
      <w:pPr>
        <w:tabs>
          <w:tab w:val="left" w:pos="3360"/>
        </w:tabs>
        <w:ind w:left="3360" w:hanging="420"/>
      </w:pPr>
      <w:rPr>
        <w:rFonts w:hint="eastAsia"/>
      </w:rPr>
    </w:lvl>
  </w:abstractNum>
  <w:abstractNum w:abstractNumId="40">
    <w:nsid w:val="68ABB1BC"/>
    <w:multiLevelType w:val="singleLevel"/>
    <w:tmpl w:val="68ABB1BC"/>
    <w:lvl w:ilvl="0" w:tentative="0">
      <w:start w:val="1"/>
      <w:numFmt w:val="decimal"/>
      <w:suff w:val="nothing"/>
      <w:lvlText w:val="%1．"/>
      <w:lvlJc w:val="left"/>
      <w:pPr>
        <w:ind w:left="0" w:firstLine="400"/>
      </w:pPr>
      <w:rPr>
        <w:rFonts w:hint="default"/>
      </w:rPr>
    </w:lvl>
  </w:abstractNum>
  <w:abstractNum w:abstractNumId="41">
    <w:nsid w:val="759C95A8"/>
    <w:multiLevelType w:val="multilevel"/>
    <w:tmpl w:val="759C95A8"/>
    <w:lvl w:ilvl="0" w:tentative="0">
      <w:start w:val="1"/>
      <w:numFmt w:val="chineseCountingThousand"/>
      <w:suff w:val="nothing"/>
      <w:lvlText w:val="%1、"/>
      <w:lvlJc w:val="left"/>
      <w:pPr>
        <w:ind w:left="420" w:hanging="420"/>
      </w:pPr>
      <w:rPr>
        <w:rFonts w:hint="eastAsia" w:ascii="宋体" w:hAnsi="宋体" w:eastAsia="宋体" w:cs="宋体"/>
        <w:b/>
        <w:color w:val="auto"/>
        <w:sz w:val="21"/>
        <w:szCs w:val="21"/>
      </w:rPr>
    </w:lvl>
    <w:lvl w:ilvl="1" w:tentative="0">
      <w:start w:val="1"/>
      <w:numFmt w:val="decimal"/>
      <w:isLgl/>
      <w:lvlText w:val="%1.%2"/>
      <w:lvlJc w:val="left"/>
      <w:pPr>
        <w:tabs>
          <w:tab w:val="left" w:pos="210"/>
        </w:tabs>
        <w:ind w:left="420" w:firstLine="0"/>
      </w:pPr>
      <w:rPr>
        <w:rFonts w:hint="eastAsia" w:ascii="宋体" w:hAnsi="宋体" w:eastAsia="宋体" w:cs="宋体"/>
        <w:sz w:val="21"/>
        <w:szCs w:val="21"/>
      </w:rPr>
    </w:lvl>
    <w:lvl w:ilvl="2" w:tentative="0">
      <w:start w:val="1"/>
      <w:numFmt w:val="decimal"/>
      <w:isLgl/>
      <w:lvlText w:val="%1.%2.%3"/>
      <w:lvlJc w:val="right"/>
      <w:pPr>
        <w:tabs>
          <w:tab w:val="left" w:pos="1260"/>
        </w:tabs>
        <w:ind w:left="1260" w:hanging="420"/>
      </w:pPr>
      <w:rPr>
        <w:rFonts w:hint="eastAsia" w:ascii="宋体" w:hAnsi="宋体" w:eastAsia="宋体"/>
        <w:sz w:val="21"/>
        <w:szCs w:val="21"/>
      </w:rPr>
    </w:lvl>
    <w:lvl w:ilvl="3" w:tentative="0">
      <w:start w:val="1"/>
      <w:numFmt w:val="decimal"/>
      <w:suff w:val="nothing"/>
      <w:lvlText w:val="%4."/>
      <w:lvlJc w:val="left"/>
      <w:pPr>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42">
    <w:nsid w:val="7C4960F8"/>
    <w:multiLevelType w:val="multilevel"/>
    <w:tmpl w:val="7C4960F8"/>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22"/>
  </w:num>
  <w:num w:numId="2">
    <w:abstractNumId w:val="8"/>
  </w:num>
  <w:num w:numId="3">
    <w:abstractNumId w:val="26"/>
  </w:num>
  <w:num w:numId="4">
    <w:abstractNumId w:val="3"/>
  </w:num>
  <w:num w:numId="5">
    <w:abstractNumId w:val="35"/>
  </w:num>
  <w:num w:numId="6">
    <w:abstractNumId w:val="16"/>
  </w:num>
  <w:num w:numId="7">
    <w:abstractNumId w:val="2"/>
  </w:num>
  <w:num w:numId="8">
    <w:abstractNumId w:val="19"/>
  </w:num>
  <w:num w:numId="9">
    <w:abstractNumId w:val="20"/>
  </w:num>
  <w:num w:numId="10">
    <w:abstractNumId w:val="23"/>
  </w:num>
  <w:num w:numId="11">
    <w:abstractNumId w:val="9"/>
  </w:num>
  <w:num w:numId="12">
    <w:abstractNumId w:val="1"/>
  </w:num>
  <w:num w:numId="13">
    <w:abstractNumId w:val="37"/>
  </w:num>
  <w:num w:numId="14">
    <w:abstractNumId w:val="29"/>
  </w:num>
  <w:num w:numId="15">
    <w:abstractNumId w:val="6"/>
  </w:num>
  <w:num w:numId="16">
    <w:abstractNumId w:val="11"/>
  </w:num>
  <w:num w:numId="17">
    <w:abstractNumId w:val="7"/>
  </w:num>
  <w:num w:numId="18">
    <w:abstractNumId w:val="18"/>
  </w:num>
  <w:num w:numId="19">
    <w:abstractNumId w:val="10"/>
  </w:num>
  <w:num w:numId="20">
    <w:abstractNumId w:val="15"/>
  </w:num>
  <w:num w:numId="21">
    <w:abstractNumId w:val="17"/>
  </w:num>
  <w:num w:numId="22">
    <w:abstractNumId w:val="33"/>
  </w:num>
  <w:num w:numId="23">
    <w:abstractNumId w:val="31"/>
  </w:num>
  <w:num w:numId="24">
    <w:abstractNumId w:val="36"/>
  </w:num>
  <w:num w:numId="25">
    <w:abstractNumId w:val="24"/>
  </w:num>
  <w:num w:numId="26">
    <w:abstractNumId w:val="28"/>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30"/>
  </w:num>
  <w:num w:numId="30">
    <w:abstractNumId w:val="21"/>
  </w:num>
  <w:num w:numId="31">
    <w:abstractNumId w:val="40"/>
  </w:num>
  <w:num w:numId="32">
    <w:abstractNumId w:val="13"/>
  </w:num>
  <w:num w:numId="33">
    <w:abstractNumId w:val="25"/>
  </w:num>
  <w:num w:numId="34">
    <w:abstractNumId w:val="12"/>
  </w:num>
  <w:num w:numId="35">
    <w:abstractNumId w:val="27"/>
  </w:num>
  <w:num w:numId="36">
    <w:abstractNumId w:val="5"/>
  </w:num>
  <w:num w:numId="37">
    <w:abstractNumId w:val="0"/>
  </w:num>
  <w:num w:numId="38">
    <w:abstractNumId w:val="39"/>
  </w:num>
  <w:num w:numId="39">
    <w:abstractNumId w:val="34"/>
  </w:num>
  <w:num w:numId="40">
    <w:abstractNumId w:val="38"/>
  </w:num>
  <w:num w:numId="41">
    <w:abstractNumId w:val="14"/>
  </w:num>
  <w:num w:numId="42">
    <w:abstractNumId w:val="32"/>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yZTMzMGFmZDU3N2E2OTgxMzI3ZWIyZWQ1MDI2NWYifQ=="/>
  </w:docVars>
  <w:rsids>
    <w:rsidRoot w:val="00516F10"/>
    <w:rsid w:val="00002C06"/>
    <w:rsid w:val="00005E7E"/>
    <w:rsid w:val="0001187D"/>
    <w:rsid w:val="00026170"/>
    <w:rsid w:val="00026B01"/>
    <w:rsid w:val="00033234"/>
    <w:rsid w:val="00045F70"/>
    <w:rsid w:val="00051B0F"/>
    <w:rsid w:val="00065916"/>
    <w:rsid w:val="00087089"/>
    <w:rsid w:val="00095495"/>
    <w:rsid w:val="000A7BA1"/>
    <w:rsid w:val="000B15DB"/>
    <w:rsid w:val="000C55B1"/>
    <w:rsid w:val="000D1D31"/>
    <w:rsid w:val="000D21F8"/>
    <w:rsid w:val="00113ED4"/>
    <w:rsid w:val="0012247C"/>
    <w:rsid w:val="00123FBD"/>
    <w:rsid w:val="00125B0B"/>
    <w:rsid w:val="00146347"/>
    <w:rsid w:val="00146CAE"/>
    <w:rsid w:val="00152737"/>
    <w:rsid w:val="00161FA4"/>
    <w:rsid w:val="00165585"/>
    <w:rsid w:val="00166091"/>
    <w:rsid w:val="00174077"/>
    <w:rsid w:val="001810C9"/>
    <w:rsid w:val="001968F3"/>
    <w:rsid w:val="001978CA"/>
    <w:rsid w:val="001A120E"/>
    <w:rsid w:val="001A45B7"/>
    <w:rsid w:val="001B31F9"/>
    <w:rsid w:val="001C0330"/>
    <w:rsid w:val="001C502C"/>
    <w:rsid w:val="001D1526"/>
    <w:rsid w:val="001E2069"/>
    <w:rsid w:val="001E63E3"/>
    <w:rsid w:val="001F33BA"/>
    <w:rsid w:val="00205973"/>
    <w:rsid w:val="00206B76"/>
    <w:rsid w:val="00223607"/>
    <w:rsid w:val="00255007"/>
    <w:rsid w:val="002570E6"/>
    <w:rsid w:val="00270B76"/>
    <w:rsid w:val="002807E6"/>
    <w:rsid w:val="00291AED"/>
    <w:rsid w:val="00291CBF"/>
    <w:rsid w:val="002B5407"/>
    <w:rsid w:val="002C766B"/>
    <w:rsid w:val="002D1A8C"/>
    <w:rsid w:val="002D7902"/>
    <w:rsid w:val="002E3B35"/>
    <w:rsid w:val="002E7E23"/>
    <w:rsid w:val="002F52E0"/>
    <w:rsid w:val="002F6100"/>
    <w:rsid w:val="00301877"/>
    <w:rsid w:val="00302919"/>
    <w:rsid w:val="003054C9"/>
    <w:rsid w:val="00305F48"/>
    <w:rsid w:val="0032451E"/>
    <w:rsid w:val="003331C2"/>
    <w:rsid w:val="00342BBF"/>
    <w:rsid w:val="00370C6C"/>
    <w:rsid w:val="003A4DC1"/>
    <w:rsid w:val="003B350C"/>
    <w:rsid w:val="003B7C53"/>
    <w:rsid w:val="003C0205"/>
    <w:rsid w:val="003C13F3"/>
    <w:rsid w:val="003C1771"/>
    <w:rsid w:val="003E1D06"/>
    <w:rsid w:val="003F5DCD"/>
    <w:rsid w:val="003F7D07"/>
    <w:rsid w:val="00403149"/>
    <w:rsid w:val="00403543"/>
    <w:rsid w:val="00422C1D"/>
    <w:rsid w:val="00436A98"/>
    <w:rsid w:val="00442FE9"/>
    <w:rsid w:val="00445982"/>
    <w:rsid w:val="00453C10"/>
    <w:rsid w:val="00466899"/>
    <w:rsid w:val="00473453"/>
    <w:rsid w:val="00473A32"/>
    <w:rsid w:val="004754C5"/>
    <w:rsid w:val="00480A35"/>
    <w:rsid w:val="00482E77"/>
    <w:rsid w:val="0049638D"/>
    <w:rsid w:val="004B1BEB"/>
    <w:rsid w:val="004B4DBA"/>
    <w:rsid w:val="004D5A99"/>
    <w:rsid w:val="004E18ED"/>
    <w:rsid w:val="004E7F78"/>
    <w:rsid w:val="004F65D2"/>
    <w:rsid w:val="0050102A"/>
    <w:rsid w:val="00501ACC"/>
    <w:rsid w:val="005025F1"/>
    <w:rsid w:val="00503BED"/>
    <w:rsid w:val="00516F10"/>
    <w:rsid w:val="00520F24"/>
    <w:rsid w:val="00523B37"/>
    <w:rsid w:val="00534A3A"/>
    <w:rsid w:val="005824B4"/>
    <w:rsid w:val="005930E8"/>
    <w:rsid w:val="005932DA"/>
    <w:rsid w:val="00595F8F"/>
    <w:rsid w:val="00597970"/>
    <w:rsid w:val="005A0B7C"/>
    <w:rsid w:val="005A50C9"/>
    <w:rsid w:val="005B1149"/>
    <w:rsid w:val="005D4244"/>
    <w:rsid w:val="005E14B6"/>
    <w:rsid w:val="005F2BD7"/>
    <w:rsid w:val="005F65B0"/>
    <w:rsid w:val="005F73F3"/>
    <w:rsid w:val="005F774A"/>
    <w:rsid w:val="006047A4"/>
    <w:rsid w:val="00606B69"/>
    <w:rsid w:val="006116CC"/>
    <w:rsid w:val="00612AB7"/>
    <w:rsid w:val="006170BC"/>
    <w:rsid w:val="00624A98"/>
    <w:rsid w:val="0063632F"/>
    <w:rsid w:val="00640EA6"/>
    <w:rsid w:val="00651943"/>
    <w:rsid w:val="006628BF"/>
    <w:rsid w:val="0066505B"/>
    <w:rsid w:val="00666EF6"/>
    <w:rsid w:val="00670B17"/>
    <w:rsid w:val="00677338"/>
    <w:rsid w:val="00680BDD"/>
    <w:rsid w:val="0069549C"/>
    <w:rsid w:val="006D015B"/>
    <w:rsid w:val="006D5E9E"/>
    <w:rsid w:val="006E60C6"/>
    <w:rsid w:val="006F001E"/>
    <w:rsid w:val="006F0237"/>
    <w:rsid w:val="006F28D9"/>
    <w:rsid w:val="006F620D"/>
    <w:rsid w:val="006F66F5"/>
    <w:rsid w:val="00714A36"/>
    <w:rsid w:val="0072778B"/>
    <w:rsid w:val="00774A88"/>
    <w:rsid w:val="00777667"/>
    <w:rsid w:val="00777E00"/>
    <w:rsid w:val="007B18CE"/>
    <w:rsid w:val="007C3127"/>
    <w:rsid w:val="007E1E37"/>
    <w:rsid w:val="007E5BDE"/>
    <w:rsid w:val="00805888"/>
    <w:rsid w:val="00806D25"/>
    <w:rsid w:val="00816CAE"/>
    <w:rsid w:val="008205B8"/>
    <w:rsid w:val="00823A7D"/>
    <w:rsid w:val="00840173"/>
    <w:rsid w:val="00847170"/>
    <w:rsid w:val="008604E5"/>
    <w:rsid w:val="0086184D"/>
    <w:rsid w:val="00861E08"/>
    <w:rsid w:val="00877D89"/>
    <w:rsid w:val="008A25EE"/>
    <w:rsid w:val="008A484F"/>
    <w:rsid w:val="008A516A"/>
    <w:rsid w:val="008C2E3F"/>
    <w:rsid w:val="008F0D95"/>
    <w:rsid w:val="008F7620"/>
    <w:rsid w:val="008F7982"/>
    <w:rsid w:val="00945BBA"/>
    <w:rsid w:val="00947ADE"/>
    <w:rsid w:val="00982612"/>
    <w:rsid w:val="00984634"/>
    <w:rsid w:val="00984F2E"/>
    <w:rsid w:val="00987117"/>
    <w:rsid w:val="009A0879"/>
    <w:rsid w:val="009A4346"/>
    <w:rsid w:val="009A43C4"/>
    <w:rsid w:val="009A6E1F"/>
    <w:rsid w:val="009B39BE"/>
    <w:rsid w:val="009B410D"/>
    <w:rsid w:val="009C1D99"/>
    <w:rsid w:val="009C23FF"/>
    <w:rsid w:val="009C30D0"/>
    <w:rsid w:val="009C6942"/>
    <w:rsid w:val="00A12D55"/>
    <w:rsid w:val="00A16D82"/>
    <w:rsid w:val="00A26653"/>
    <w:rsid w:val="00A27B67"/>
    <w:rsid w:val="00A3128C"/>
    <w:rsid w:val="00A3213A"/>
    <w:rsid w:val="00A4501F"/>
    <w:rsid w:val="00A509CB"/>
    <w:rsid w:val="00A5328B"/>
    <w:rsid w:val="00A53D5C"/>
    <w:rsid w:val="00A64254"/>
    <w:rsid w:val="00A71689"/>
    <w:rsid w:val="00A7278C"/>
    <w:rsid w:val="00A73A78"/>
    <w:rsid w:val="00A8640E"/>
    <w:rsid w:val="00A929F2"/>
    <w:rsid w:val="00AA01A8"/>
    <w:rsid w:val="00AA34C4"/>
    <w:rsid w:val="00AB1288"/>
    <w:rsid w:val="00AB35E0"/>
    <w:rsid w:val="00AB6B9C"/>
    <w:rsid w:val="00AD70A4"/>
    <w:rsid w:val="00AD7E54"/>
    <w:rsid w:val="00AE293E"/>
    <w:rsid w:val="00AE58D3"/>
    <w:rsid w:val="00B011BC"/>
    <w:rsid w:val="00B07A59"/>
    <w:rsid w:val="00B17BC3"/>
    <w:rsid w:val="00B35E6A"/>
    <w:rsid w:val="00B463BB"/>
    <w:rsid w:val="00B47554"/>
    <w:rsid w:val="00B60CD4"/>
    <w:rsid w:val="00B6385E"/>
    <w:rsid w:val="00B6553A"/>
    <w:rsid w:val="00B700EF"/>
    <w:rsid w:val="00B81EE3"/>
    <w:rsid w:val="00B82304"/>
    <w:rsid w:val="00B87081"/>
    <w:rsid w:val="00B872BE"/>
    <w:rsid w:val="00B966BA"/>
    <w:rsid w:val="00BA6D96"/>
    <w:rsid w:val="00BB1FFC"/>
    <w:rsid w:val="00BB678A"/>
    <w:rsid w:val="00BC0F33"/>
    <w:rsid w:val="00BC1A08"/>
    <w:rsid w:val="00BC5AF8"/>
    <w:rsid w:val="00BD5853"/>
    <w:rsid w:val="00BD7E5E"/>
    <w:rsid w:val="00C01110"/>
    <w:rsid w:val="00C121F4"/>
    <w:rsid w:val="00C1511B"/>
    <w:rsid w:val="00C22423"/>
    <w:rsid w:val="00C47482"/>
    <w:rsid w:val="00C47EB3"/>
    <w:rsid w:val="00C56BCF"/>
    <w:rsid w:val="00C7101F"/>
    <w:rsid w:val="00C81944"/>
    <w:rsid w:val="00C8330C"/>
    <w:rsid w:val="00C85C45"/>
    <w:rsid w:val="00CA7A8E"/>
    <w:rsid w:val="00CB5B2E"/>
    <w:rsid w:val="00CB6A53"/>
    <w:rsid w:val="00CD3D6A"/>
    <w:rsid w:val="00CD4582"/>
    <w:rsid w:val="00CD5D53"/>
    <w:rsid w:val="00CE1A74"/>
    <w:rsid w:val="00CF58EB"/>
    <w:rsid w:val="00CF704F"/>
    <w:rsid w:val="00CF7C56"/>
    <w:rsid w:val="00D0680E"/>
    <w:rsid w:val="00D21022"/>
    <w:rsid w:val="00D34203"/>
    <w:rsid w:val="00D4610D"/>
    <w:rsid w:val="00D60017"/>
    <w:rsid w:val="00D63B27"/>
    <w:rsid w:val="00D64B8A"/>
    <w:rsid w:val="00D841DD"/>
    <w:rsid w:val="00D844AB"/>
    <w:rsid w:val="00D917E7"/>
    <w:rsid w:val="00DA1F07"/>
    <w:rsid w:val="00DA3E4A"/>
    <w:rsid w:val="00DA4040"/>
    <w:rsid w:val="00DA6860"/>
    <w:rsid w:val="00DB6B7F"/>
    <w:rsid w:val="00DC1BC1"/>
    <w:rsid w:val="00DC6EF3"/>
    <w:rsid w:val="00DE0A44"/>
    <w:rsid w:val="00DE3D95"/>
    <w:rsid w:val="00DE5C00"/>
    <w:rsid w:val="00DE61A2"/>
    <w:rsid w:val="00DF16F7"/>
    <w:rsid w:val="00DF464C"/>
    <w:rsid w:val="00E1068B"/>
    <w:rsid w:val="00E1167F"/>
    <w:rsid w:val="00E16033"/>
    <w:rsid w:val="00E333C4"/>
    <w:rsid w:val="00E36344"/>
    <w:rsid w:val="00E36E12"/>
    <w:rsid w:val="00E37953"/>
    <w:rsid w:val="00E40338"/>
    <w:rsid w:val="00E47E12"/>
    <w:rsid w:val="00E54B47"/>
    <w:rsid w:val="00E550A5"/>
    <w:rsid w:val="00E56DB8"/>
    <w:rsid w:val="00E574D2"/>
    <w:rsid w:val="00E63A68"/>
    <w:rsid w:val="00E71E50"/>
    <w:rsid w:val="00E82508"/>
    <w:rsid w:val="00E85BD8"/>
    <w:rsid w:val="00E945CA"/>
    <w:rsid w:val="00E97395"/>
    <w:rsid w:val="00EB05DF"/>
    <w:rsid w:val="00EB475A"/>
    <w:rsid w:val="00EB5616"/>
    <w:rsid w:val="00EC56B3"/>
    <w:rsid w:val="00EC5B5C"/>
    <w:rsid w:val="00EE5358"/>
    <w:rsid w:val="00EF0FFF"/>
    <w:rsid w:val="00EF5DEB"/>
    <w:rsid w:val="00EF5FEA"/>
    <w:rsid w:val="00EF6234"/>
    <w:rsid w:val="00F2449B"/>
    <w:rsid w:val="00F31392"/>
    <w:rsid w:val="00F376F4"/>
    <w:rsid w:val="00F4118A"/>
    <w:rsid w:val="00F42D73"/>
    <w:rsid w:val="00FA2F0C"/>
    <w:rsid w:val="00FB5094"/>
    <w:rsid w:val="00FD0856"/>
    <w:rsid w:val="00FD159C"/>
    <w:rsid w:val="00FD3D70"/>
    <w:rsid w:val="00FE04B0"/>
    <w:rsid w:val="00FE1406"/>
    <w:rsid w:val="00FE5504"/>
    <w:rsid w:val="0254506A"/>
    <w:rsid w:val="02575EC2"/>
    <w:rsid w:val="036E4271"/>
    <w:rsid w:val="04391B5B"/>
    <w:rsid w:val="05270890"/>
    <w:rsid w:val="05B51CAC"/>
    <w:rsid w:val="06C72318"/>
    <w:rsid w:val="08A27B5E"/>
    <w:rsid w:val="098300E2"/>
    <w:rsid w:val="0B854A8E"/>
    <w:rsid w:val="1011409C"/>
    <w:rsid w:val="10780513"/>
    <w:rsid w:val="10EB642C"/>
    <w:rsid w:val="140E06F9"/>
    <w:rsid w:val="146E281E"/>
    <w:rsid w:val="14954902"/>
    <w:rsid w:val="1502468A"/>
    <w:rsid w:val="151532AB"/>
    <w:rsid w:val="15312FFF"/>
    <w:rsid w:val="18146A05"/>
    <w:rsid w:val="187B2334"/>
    <w:rsid w:val="19A33CA2"/>
    <w:rsid w:val="1A7761F7"/>
    <w:rsid w:val="1C485E9A"/>
    <w:rsid w:val="1D710EE9"/>
    <w:rsid w:val="209B154E"/>
    <w:rsid w:val="21831939"/>
    <w:rsid w:val="22413977"/>
    <w:rsid w:val="22D929EE"/>
    <w:rsid w:val="23890100"/>
    <w:rsid w:val="24131885"/>
    <w:rsid w:val="25AA27EF"/>
    <w:rsid w:val="27771025"/>
    <w:rsid w:val="27C23B0F"/>
    <w:rsid w:val="28FD2463"/>
    <w:rsid w:val="29775C73"/>
    <w:rsid w:val="2A5D0B1B"/>
    <w:rsid w:val="2B2A1FF1"/>
    <w:rsid w:val="2F4B5063"/>
    <w:rsid w:val="2F994D6C"/>
    <w:rsid w:val="3283369C"/>
    <w:rsid w:val="32E72810"/>
    <w:rsid w:val="3395533F"/>
    <w:rsid w:val="350E3FE1"/>
    <w:rsid w:val="352D461F"/>
    <w:rsid w:val="35535222"/>
    <w:rsid w:val="35D7507A"/>
    <w:rsid w:val="37977588"/>
    <w:rsid w:val="37C16C4A"/>
    <w:rsid w:val="39FF78C2"/>
    <w:rsid w:val="3A896E69"/>
    <w:rsid w:val="3AC275EC"/>
    <w:rsid w:val="3AEA76E0"/>
    <w:rsid w:val="3BEB32DE"/>
    <w:rsid w:val="40EF4BFF"/>
    <w:rsid w:val="43756FB2"/>
    <w:rsid w:val="44665C52"/>
    <w:rsid w:val="45AB72AA"/>
    <w:rsid w:val="45D953CD"/>
    <w:rsid w:val="45F522CA"/>
    <w:rsid w:val="46775E01"/>
    <w:rsid w:val="474A158F"/>
    <w:rsid w:val="498F4C0E"/>
    <w:rsid w:val="4B575A5A"/>
    <w:rsid w:val="4BEE1D5A"/>
    <w:rsid w:val="4BFE4274"/>
    <w:rsid w:val="4C0C3E12"/>
    <w:rsid w:val="4D637C5C"/>
    <w:rsid w:val="4ED450BE"/>
    <w:rsid w:val="4F381BE4"/>
    <w:rsid w:val="4F7D24CE"/>
    <w:rsid w:val="4FF90DBA"/>
    <w:rsid w:val="4FF9230D"/>
    <w:rsid w:val="56432918"/>
    <w:rsid w:val="57F9356E"/>
    <w:rsid w:val="58000452"/>
    <w:rsid w:val="58E177BD"/>
    <w:rsid w:val="596E089D"/>
    <w:rsid w:val="5B30171A"/>
    <w:rsid w:val="5D5A5BCE"/>
    <w:rsid w:val="5D680A7D"/>
    <w:rsid w:val="5E093A8A"/>
    <w:rsid w:val="6020728A"/>
    <w:rsid w:val="614F385A"/>
    <w:rsid w:val="619F17A7"/>
    <w:rsid w:val="625B10A7"/>
    <w:rsid w:val="62653E22"/>
    <w:rsid w:val="63DC2FC6"/>
    <w:rsid w:val="64406EEF"/>
    <w:rsid w:val="64E751EB"/>
    <w:rsid w:val="66251F61"/>
    <w:rsid w:val="669E39EF"/>
    <w:rsid w:val="66A95EAF"/>
    <w:rsid w:val="67037079"/>
    <w:rsid w:val="672C24AA"/>
    <w:rsid w:val="67510DFD"/>
    <w:rsid w:val="67A22DC2"/>
    <w:rsid w:val="67BC36DF"/>
    <w:rsid w:val="698059D7"/>
    <w:rsid w:val="6983586E"/>
    <w:rsid w:val="6B135022"/>
    <w:rsid w:val="6C3F7B62"/>
    <w:rsid w:val="6DCA458A"/>
    <w:rsid w:val="70EA60A4"/>
    <w:rsid w:val="731B1F32"/>
    <w:rsid w:val="736F0911"/>
    <w:rsid w:val="74F7421B"/>
    <w:rsid w:val="763B6585"/>
    <w:rsid w:val="76D80D8A"/>
    <w:rsid w:val="76FD6044"/>
    <w:rsid w:val="79146589"/>
    <w:rsid w:val="7A5E610B"/>
    <w:rsid w:val="7B01721A"/>
    <w:rsid w:val="7C6155FB"/>
    <w:rsid w:val="7DEA23A8"/>
    <w:rsid w:val="7FAF0040"/>
    <w:rsid w:val="7FEB5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name="Date"/>
    <w:lsdException w:qFormat="1"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08"/>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114"/>
    <w:qFormat/>
    <w:uiPriority w:val="9"/>
    <w:pPr>
      <w:keepNext/>
      <w:keepLines/>
      <w:spacing w:before="260" w:after="260" w:line="416" w:lineRule="auto"/>
      <w:outlineLvl w:val="2"/>
    </w:pPr>
    <w:rPr>
      <w:b/>
      <w:bCs/>
      <w:sz w:val="32"/>
      <w:szCs w:val="32"/>
    </w:rPr>
  </w:style>
  <w:style w:type="paragraph" w:styleId="5">
    <w:name w:val="heading 4"/>
    <w:basedOn w:val="1"/>
    <w:next w:val="1"/>
    <w:link w:val="99"/>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qFormat/>
    <w:uiPriority w:val="9"/>
    <w:pPr>
      <w:keepNext/>
      <w:keepLines/>
      <w:spacing w:before="280" w:after="290" w:line="372" w:lineRule="auto"/>
      <w:outlineLvl w:val="4"/>
    </w:pPr>
    <w:rPr>
      <w:b/>
      <w:sz w:val="28"/>
    </w:rPr>
  </w:style>
  <w:style w:type="paragraph" w:styleId="7">
    <w:name w:val="heading 6"/>
    <w:basedOn w:val="1"/>
    <w:next w:val="1"/>
    <w:qFormat/>
    <w:uiPriority w:val="9"/>
    <w:pPr>
      <w:keepNext/>
      <w:keepLines/>
      <w:spacing w:before="240" w:after="64" w:line="317" w:lineRule="auto"/>
      <w:outlineLvl w:val="5"/>
    </w:pPr>
    <w:rPr>
      <w:rFonts w:ascii="Arial" w:hAnsi="Arial" w:eastAsia="黑体"/>
      <w:b/>
      <w:sz w:val="24"/>
    </w:rPr>
  </w:style>
  <w:style w:type="paragraph" w:styleId="8">
    <w:name w:val="heading 7"/>
    <w:basedOn w:val="1"/>
    <w:next w:val="1"/>
    <w:qFormat/>
    <w:uiPriority w:val="9"/>
    <w:pPr>
      <w:keepNext/>
      <w:keepLines/>
      <w:spacing w:before="240" w:after="64" w:line="317" w:lineRule="auto"/>
      <w:outlineLvl w:val="6"/>
    </w:pPr>
    <w:rPr>
      <w:b/>
      <w:sz w:val="24"/>
    </w:rPr>
  </w:style>
  <w:style w:type="paragraph" w:styleId="9">
    <w:name w:val="heading 8"/>
    <w:basedOn w:val="1"/>
    <w:next w:val="1"/>
    <w:qFormat/>
    <w:uiPriority w:val="9"/>
    <w:pPr>
      <w:keepNext/>
      <w:keepLines/>
      <w:spacing w:before="240" w:after="64" w:line="317" w:lineRule="auto"/>
      <w:outlineLvl w:val="7"/>
    </w:pPr>
    <w:rPr>
      <w:rFonts w:ascii="Arial" w:hAnsi="Arial" w:eastAsia="黑体"/>
      <w:sz w:val="24"/>
    </w:rPr>
  </w:style>
  <w:style w:type="paragraph" w:styleId="10">
    <w:name w:val="heading 9"/>
    <w:basedOn w:val="1"/>
    <w:next w:val="1"/>
    <w:qFormat/>
    <w:uiPriority w:val="9"/>
    <w:pPr>
      <w:keepNext/>
      <w:keepLines/>
      <w:spacing w:before="240" w:after="64" w:line="317"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36"/>
    <w:qFormat/>
    <w:uiPriority w:val="0"/>
    <w:pPr>
      <w:ind w:firstLine="420"/>
    </w:pPr>
    <w:rPr>
      <w:rFonts w:ascii="Times New Roman" w:hAnsi="Times New Roman"/>
      <w:szCs w:val="20"/>
    </w:rPr>
  </w:style>
  <w:style w:type="paragraph" w:styleId="12">
    <w:name w:val="annotation text"/>
    <w:basedOn w:val="1"/>
    <w:link w:val="105"/>
    <w:unhideWhenUsed/>
    <w:qFormat/>
    <w:uiPriority w:val="0"/>
    <w:pPr>
      <w:jc w:val="left"/>
    </w:pPr>
    <w:rPr>
      <w:rFonts w:ascii="Times New Roman" w:hAnsi="Times New Roman"/>
      <w:szCs w:val="24"/>
    </w:rPr>
  </w:style>
  <w:style w:type="paragraph" w:styleId="13">
    <w:name w:val="Body Text"/>
    <w:basedOn w:val="1"/>
    <w:next w:val="1"/>
    <w:link w:val="111"/>
    <w:qFormat/>
    <w:uiPriority w:val="0"/>
    <w:pPr>
      <w:spacing w:line="360" w:lineRule="auto"/>
    </w:pPr>
    <w:rPr>
      <w:b/>
      <w:bCs/>
      <w:sz w:val="24"/>
    </w:rPr>
  </w:style>
  <w:style w:type="paragraph" w:styleId="14">
    <w:name w:val="Body Text Indent"/>
    <w:basedOn w:val="1"/>
    <w:link w:val="48"/>
    <w:qFormat/>
    <w:uiPriority w:val="0"/>
    <w:pPr>
      <w:spacing w:after="120"/>
      <w:ind w:left="420" w:leftChars="200"/>
    </w:pPr>
    <w:rPr>
      <w:rFonts w:ascii="Times New Roman" w:hAnsi="Times New Roman"/>
      <w:szCs w:val="24"/>
    </w:rPr>
  </w:style>
  <w:style w:type="paragraph" w:styleId="15">
    <w:name w:val="Plain Text"/>
    <w:basedOn w:val="1"/>
    <w:link w:val="106"/>
    <w:qFormat/>
    <w:uiPriority w:val="99"/>
    <w:rPr>
      <w:rFonts w:ascii="宋体" w:hAnsi="Courier New"/>
      <w:kern w:val="0"/>
      <w:sz w:val="20"/>
      <w:szCs w:val="21"/>
    </w:rPr>
  </w:style>
  <w:style w:type="paragraph" w:styleId="16">
    <w:name w:val="Date"/>
    <w:basedOn w:val="1"/>
    <w:next w:val="1"/>
    <w:link w:val="119"/>
    <w:semiHidden/>
    <w:unhideWhenUsed/>
    <w:qFormat/>
    <w:uiPriority w:val="0"/>
    <w:pPr>
      <w:widowControl/>
    </w:pPr>
    <w:rPr>
      <w:rFonts w:ascii="Times New Roman" w:hAnsi="Times New Roman"/>
      <w:kern w:val="0"/>
      <w:sz w:val="30"/>
      <w:szCs w:val="20"/>
    </w:rPr>
  </w:style>
  <w:style w:type="paragraph" w:styleId="17">
    <w:name w:val="Balloon Text"/>
    <w:basedOn w:val="1"/>
    <w:link w:val="49"/>
    <w:unhideWhenUsed/>
    <w:qFormat/>
    <w:uiPriority w:val="99"/>
    <w:rPr>
      <w:sz w:val="18"/>
      <w:szCs w:val="18"/>
    </w:rPr>
  </w:style>
  <w:style w:type="paragraph" w:styleId="18">
    <w:name w:val="footer"/>
    <w:basedOn w:val="1"/>
    <w:link w:val="107"/>
    <w:unhideWhenUsed/>
    <w:qFormat/>
    <w:uiPriority w:val="99"/>
    <w:pPr>
      <w:tabs>
        <w:tab w:val="center" w:pos="4153"/>
        <w:tab w:val="right" w:pos="8306"/>
      </w:tabs>
      <w:snapToGrid w:val="0"/>
      <w:jc w:val="left"/>
    </w:pPr>
    <w:rPr>
      <w:sz w:val="18"/>
      <w:szCs w:val="18"/>
    </w:rPr>
  </w:style>
  <w:style w:type="paragraph" w:styleId="19">
    <w:name w:val="header"/>
    <w:basedOn w:val="1"/>
    <w:link w:val="117"/>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Body Text Indent 3"/>
    <w:basedOn w:val="1"/>
    <w:link w:val="37"/>
    <w:qFormat/>
    <w:uiPriority w:val="0"/>
    <w:pPr>
      <w:spacing w:after="120"/>
      <w:ind w:left="420" w:leftChars="200"/>
    </w:pPr>
    <w:rPr>
      <w:rFonts w:ascii="Times New Roman" w:hAnsi="Times New Roman"/>
      <w:sz w:val="16"/>
      <w:szCs w:val="16"/>
    </w:rPr>
  </w:style>
  <w:style w:type="paragraph" w:styleId="21">
    <w:name w:val="toc 2"/>
    <w:basedOn w:val="1"/>
    <w:next w:val="1"/>
    <w:qFormat/>
    <w:uiPriority w:val="39"/>
    <w:pPr>
      <w:tabs>
        <w:tab w:val="left" w:pos="1080"/>
        <w:tab w:val="right" w:leader="dot" w:pos="9540"/>
        <w:tab w:val="right" w:leader="dot" w:pos="9628"/>
      </w:tabs>
      <w:ind w:left="150" w:leftChars="150" w:right="-34" w:rightChars="-34"/>
      <w:jc w:val="left"/>
    </w:pPr>
    <w:rPr>
      <w:rFonts w:ascii="Times New Roman" w:hAnsi="Times New Roman"/>
      <w:smallCaps/>
      <w:sz w:val="20"/>
    </w:rPr>
  </w:style>
  <w:style w:type="paragraph" w:styleId="22">
    <w:name w:val="Normal (Web)"/>
    <w:basedOn w:val="1"/>
    <w:link w:val="104"/>
    <w:unhideWhenUsed/>
    <w:qFormat/>
    <w:uiPriority w:val="99"/>
    <w:pPr>
      <w:widowControl/>
      <w:spacing w:before="100" w:beforeAutospacing="1" w:after="100" w:afterAutospacing="1"/>
      <w:jc w:val="left"/>
    </w:pPr>
    <w:rPr>
      <w:rFonts w:ascii="宋体" w:hAnsi="宋体" w:cs="宋体"/>
      <w:kern w:val="0"/>
      <w:sz w:val="24"/>
      <w:szCs w:val="24"/>
    </w:rPr>
  </w:style>
  <w:style w:type="paragraph" w:styleId="23">
    <w:name w:val="Title"/>
    <w:basedOn w:val="1"/>
    <w:next w:val="1"/>
    <w:link w:val="112"/>
    <w:qFormat/>
    <w:uiPriority w:val="0"/>
    <w:pPr>
      <w:spacing w:before="240" w:after="60"/>
      <w:jc w:val="center"/>
      <w:outlineLvl w:val="0"/>
    </w:pPr>
    <w:rPr>
      <w:rFonts w:ascii="Cambria" w:hAnsi="Cambria"/>
      <w:b/>
      <w:bCs/>
      <w:kern w:val="0"/>
      <w:sz w:val="32"/>
      <w:szCs w:val="32"/>
    </w:rPr>
  </w:style>
  <w:style w:type="paragraph" w:styleId="24">
    <w:name w:val="annotation subject"/>
    <w:basedOn w:val="12"/>
    <w:next w:val="12"/>
    <w:link w:val="39"/>
    <w:unhideWhenUsed/>
    <w:qFormat/>
    <w:uiPriority w:val="99"/>
    <w:rPr>
      <w:b/>
      <w:bCs/>
    </w:rPr>
  </w:style>
  <w:style w:type="paragraph" w:styleId="25">
    <w:name w:val="Body Text First Indent"/>
    <w:basedOn w:val="1"/>
    <w:semiHidden/>
    <w:unhideWhenUsed/>
    <w:qFormat/>
    <w:uiPriority w:val="0"/>
    <w:pPr>
      <w:ind w:firstLine="420" w:firstLineChars="100"/>
    </w:pPr>
    <w:rPr>
      <w:rFonts w:ascii="Verdana" w:hAnsi="Verdana"/>
      <w:b/>
      <w:i/>
      <w:iCs/>
      <w:color w:val="000000"/>
    </w:rPr>
  </w:style>
  <w:style w:type="table" w:styleId="27">
    <w:name w:val="Table Grid"/>
    <w:basedOn w:val="26"/>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9">
    <w:name w:val="Strong"/>
    <w:qFormat/>
    <w:uiPriority w:val="0"/>
    <w:rPr>
      <w:b/>
      <w:bCs/>
    </w:rPr>
  </w:style>
  <w:style w:type="character" w:styleId="30">
    <w:name w:val="FollowedHyperlink"/>
    <w:unhideWhenUsed/>
    <w:qFormat/>
    <w:uiPriority w:val="99"/>
    <w:rPr>
      <w:color w:val="800080"/>
      <w:u w:val="single"/>
    </w:rPr>
  </w:style>
  <w:style w:type="character" w:styleId="31">
    <w:name w:val="Hyperlink"/>
    <w:unhideWhenUsed/>
    <w:qFormat/>
    <w:uiPriority w:val="99"/>
    <w:rPr>
      <w:color w:val="0000FF"/>
      <w:u w:val="single"/>
    </w:rPr>
  </w:style>
  <w:style w:type="character" w:styleId="32">
    <w:name w:val="annotation reference"/>
    <w:unhideWhenUsed/>
    <w:qFormat/>
    <w:uiPriority w:val="0"/>
    <w:rPr>
      <w:sz w:val="21"/>
      <w:szCs w:val="21"/>
    </w:rPr>
  </w:style>
  <w:style w:type="character" w:customStyle="1" w:styleId="33">
    <w:name w:val="批注文字 Char1"/>
    <w:qFormat/>
    <w:uiPriority w:val="0"/>
    <w:rPr>
      <w:kern w:val="2"/>
      <w:sz w:val="21"/>
      <w:szCs w:val="22"/>
    </w:rPr>
  </w:style>
  <w:style w:type="character" w:customStyle="1" w:styleId="34">
    <w:name w:val="批注文字 字符1"/>
    <w:qFormat/>
    <w:uiPriority w:val="99"/>
  </w:style>
  <w:style w:type="character" w:customStyle="1" w:styleId="35">
    <w:name w:val="页眉 Char"/>
    <w:qFormat/>
    <w:uiPriority w:val="99"/>
    <w:rPr>
      <w:kern w:val="2"/>
      <w:sz w:val="18"/>
      <w:szCs w:val="18"/>
    </w:rPr>
  </w:style>
  <w:style w:type="character" w:customStyle="1" w:styleId="36">
    <w:name w:val="正文缩进 字符"/>
    <w:link w:val="11"/>
    <w:qFormat/>
    <w:locked/>
    <w:uiPriority w:val="0"/>
    <w:rPr>
      <w:rFonts w:ascii="Times New Roman" w:hAnsi="Times New Roman"/>
      <w:kern w:val="2"/>
      <w:sz w:val="21"/>
    </w:rPr>
  </w:style>
  <w:style w:type="character" w:customStyle="1" w:styleId="37">
    <w:name w:val="正文文本缩进 3 字符"/>
    <w:link w:val="20"/>
    <w:qFormat/>
    <w:uiPriority w:val="0"/>
    <w:rPr>
      <w:rFonts w:ascii="Times New Roman" w:hAnsi="Times New Roman"/>
      <w:kern w:val="2"/>
      <w:sz w:val="16"/>
      <w:szCs w:val="16"/>
    </w:rPr>
  </w:style>
  <w:style w:type="character" w:customStyle="1" w:styleId="38">
    <w:name w:val="列出段落 Char"/>
    <w:qFormat/>
    <w:uiPriority w:val="34"/>
  </w:style>
  <w:style w:type="character" w:customStyle="1" w:styleId="39">
    <w:name w:val="批注主题 字符"/>
    <w:link w:val="24"/>
    <w:semiHidden/>
    <w:qFormat/>
    <w:uiPriority w:val="99"/>
    <w:rPr>
      <w:b/>
      <w:bCs/>
      <w:kern w:val="2"/>
      <w:sz w:val="21"/>
      <w:szCs w:val="22"/>
    </w:rPr>
  </w:style>
  <w:style w:type="character" w:customStyle="1" w:styleId="40">
    <w:name w:val="List Paragraph Char"/>
    <w:link w:val="41"/>
    <w:qFormat/>
    <w:locked/>
    <w:uiPriority w:val="34"/>
    <w:rPr>
      <w:kern w:val="2"/>
      <w:sz w:val="21"/>
      <w:szCs w:val="24"/>
    </w:rPr>
  </w:style>
  <w:style w:type="paragraph" w:customStyle="1" w:styleId="41">
    <w:name w:val="列出段落1"/>
    <w:basedOn w:val="1"/>
    <w:link w:val="40"/>
    <w:qFormat/>
    <w:uiPriority w:val="34"/>
    <w:pPr>
      <w:ind w:firstLine="420" w:firstLineChars="200"/>
    </w:pPr>
    <w:rPr>
      <w:szCs w:val="24"/>
    </w:rPr>
  </w:style>
  <w:style w:type="character" w:customStyle="1" w:styleId="42">
    <w:name w:val="列表段落 字符1"/>
    <w:qFormat/>
    <w:uiPriority w:val="34"/>
  </w:style>
  <w:style w:type="character" w:customStyle="1" w:styleId="43">
    <w:name w:val="页脚 Char"/>
    <w:qFormat/>
    <w:uiPriority w:val="99"/>
    <w:rPr>
      <w:kern w:val="2"/>
      <w:sz w:val="18"/>
      <w:szCs w:val="18"/>
    </w:rPr>
  </w:style>
  <w:style w:type="character" w:customStyle="1" w:styleId="44">
    <w:name w:val="纯文本 Char2"/>
    <w:qFormat/>
    <w:uiPriority w:val="0"/>
    <w:rPr>
      <w:rFonts w:ascii="宋体" w:hAnsi="Courier New"/>
      <w:szCs w:val="21"/>
    </w:rPr>
  </w:style>
  <w:style w:type="character" w:customStyle="1" w:styleId="45">
    <w:name w:val="标题 1 Char"/>
    <w:qFormat/>
    <w:uiPriority w:val="9"/>
    <w:rPr>
      <w:b/>
      <w:bCs/>
      <w:kern w:val="44"/>
      <w:sz w:val="44"/>
      <w:szCs w:val="44"/>
    </w:rPr>
  </w:style>
  <w:style w:type="character" w:customStyle="1" w:styleId="46">
    <w:name w:val="标题 2 Char"/>
    <w:qFormat/>
    <w:uiPriority w:val="9"/>
    <w:rPr>
      <w:rFonts w:ascii="Cambria" w:hAnsi="Cambria"/>
      <w:b/>
      <w:bCs/>
      <w:kern w:val="2"/>
      <w:sz w:val="32"/>
      <w:szCs w:val="32"/>
    </w:rPr>
  </w:style>
  <w:style w:type="character" w:customStyle="1" w:styleId="47">
    <w:name w:val="标题 3 Char"/>
    <w:semiHidden/>
    <w:qFormat/>
    <w:uiPriority w:val="9"/>
    <w:rPr>
      <w:b/>
      <w:bCs/>
      <w:kern w:val="2"/>
      <w:sz w:val="32"/>
      <w:szCs w:val="32"/>
    </w:rPr>
  </w:style>
  <w:style w:type="character" w:customStyle="1" w:styleId="48">
    <w:name w:val="正文文本缩进 字符"/>
    <w:link w:val="14"/>
    <w:qFormat/>
    <w:uiPriority w:val="0"/>
    <w:rPr>
      <w:rFonts w:ascii="Times New Roman" w:hAnsi="Times New Roman"/>
      <w:kern w:val="2"/>
      <w:sz w:val="21"/>
      <w:szCs w:val="24"/>
    </w:rPr>
  </w:style>
  <w:style w:type="character" w:customStyle="1" w:styleId="49">
    <w:name w:val="批注框文本 字符"/>
    <w:link w:val="17"/>
    <w:semiHidden/>
    <w:qFormat/>
    <w:uiPriority w:val="99"/>
    <w:rPr>
      <w:kern w:val="2"/>
      <w:sz w:val="18"/>
      <w:szCs w:val="18"/>
    </w:rPr>
  </w:style>
  <w:style w:type="character" w:customStyle="1" w:styleId="50">
    <w:name w:val="普通(网站) Char"/>
    <w:qFormat/>
    <w:uiPriority w:val="99"/>
    <w:rPr>
      <w:rFonts w:ascii="宋体" w:hAnsi="宋体" w:cs="宋体"/>
      <w:sz w:val="24"/>
      <w:szCs w:val="24"/>
    </w:rPr>
  </w:style>
  <w:style w:type="character" w:customStyle="1" w:styleId="51">
    <w:name w:val="标题 Char"/>
    <w:qFormat/>
    <w:uiPriority w:val="0"/>
    <w:rPr>
      <w:rFonts w:ascii="Cambria" w:hAnsi="Cambria" w:eastAsia="宋体" w:cs="Times New Roman"/>
      <w:b/>
      <w:bCs/>
      <w:sz w:val="32"/>
      <w:szCs w:val="32"/>
    </w:rPr>
  </w:style>
  <w:style w:type="character" w:customStyle="1" w:styleId="52">
    <w:name w:val="纯文本 Char1"/>
    <w:qFormat/>
    <w:uiPriority w:val="0"/>
    <w:rPr>
      <w:rFonts w:ascii="宋体" w:hAnsi="Courier New" w:eastAsia="宋体" w:cs="Times New Roman"/>
      <w:kern w:val="0"/>
      <w:sz w:val="20"/>
      <w:szCs w:val="21"/>
    </w:rPr>
  </w:style>
  <w:style w:type="character" w:customStyle="1" w:styleId="53">
    <w:name w:val="列表段落 字符"/>
    <w:link w:val="54"/>
    <w:qFormat/>
    <w:uiPriority w:val="34"/>
    <w:rPr>
      <w:kern w:val="2"/>
      <w:sz w:val="21"/>
      <w:szCs w:val="22"/>
    </w:rPr>
  </w:style>
  <w:style w:type="paragraph" w:customStyle="1" w:styleId="54">
    <w:name w:val="列表段落1"/>
    <w:basedOn w:val="1"/>
    <w:link w:val="53"/>
    <w:qFormat/>
    <w:uiPriority w:val="34"/>
    <w:pPr>
      <w:ind w:firstLine="420" w:firstLineChars="200"/>
    </w:pPr>
  </w:style>
  <w:style w:type="character" w:customStyle="1" w:styleId="55">
    <w:name w:val="font171"/>
    <w:qFormat/>
    <w:uiPriority w:val="0"/>
    <w:rPr>
      <w:rFonts w:hint="eastAsia" w:ascii="宋体" w:hAnsi="宋体" w:eastAsia="宋体" w:cs="宋体"/>
      <w:color w:val="339966"/>
      <w:sz w:val="20"/>
      <w:szCs w:val="20"/>
      <w:u w:val="none"/>
    </w:rPr>
  </w:style>
  <w:style w:type="character" w:customStyle="1" w:styleId="56">
    <w:name w:val="纯文本 Char"/>
    <w:qFormat/>
    <w:uiPriority w:val="99"/>
    <w:rPr>
      <w:rFonts w:ascii="宋体" w:hAnsi="Courier New" w:cs="Courier New"/>
      <w:kern w:val="2"/>
      <w:sz w:val="21"/>
      <w:szCs w:val="21"/>
    </w:rPr>
  </w:style>
  <w:style w:type="character" w:customStyle="1" w:styleId="57">
    <w:name w:val="批注文字 Char"/>
    <w:qFormat/>
    <w:uiPriority w:val="99"/>
    <w:rPr>
      <w:rFonts w:ascii="Times New Roman" w:hAnsi="Times New Roman" w:eastAsia="宋体" w:cs="Times New Roman"/>
      <w:kern w:val="0"/>
      <w:sz w:val="20"/>
      <w:szCs w:val="20"/>
    </w:rPr>
  </w:style>
  <w:style w:type="character" w:customStyle="1" w:styleId="58">
    <w:name w:val="纯文本 字符1"/>
    <w:qFormat/>
    <w:uiPriority w:val="0"/>
    <w:rPr>
      <w:rFonts w:ascii="宋体" w:hAnsi="Courier New" w:eastAsia="宋体" w:cs="Courier New"/>
      <w:szCs w:val="21"/>
    </w:rPr>
  </w:style>
  <w:style w:type="paragraph" w:customStyle="1" w:styleId="59">
    <w:name w:val="_Style 121"/>
    <w:basedOn w:val="1"/>
    <w:next w:val="54"/>
    <w:qFormat/>
    <w:uiPriority w:val="34"/>
    <w:pPr>
      <w:ind w:firstLine="420" w:firstLineChars="200"/>
    </w:pPr>
  </w:style>
  <w:style w:type="paragraph" w:customStyle="1" w:styleId="60">
    <w:name w:val="样式5"/>
    <w:basedOn w:val="1"/>
    <w:next w:val="9"/>
    <w:qFormat/>
    <w:uiPriority w:val="0"/>
    <w:pPr>
      <w:tabs>
        <w:tab w:val="left" w:pos="420"/>
      </w:tabs>
      <w:autoSpaceDE w:val="0"/>
      <w:autoSpaceDN w:val="0"/>
      <w:adjustRightInd w:val="0"/>
      <w:spacing w:line="360" w:lineRule="auto"/>
      <w:ind w:left="420" w:hanging="420"/>
      <w:jc w:val="left"/>
    </w:pPr>
    <w:rPr>
      <w:rFonts w:hint="eastAsia" w:ascii="宋体" w:hAnsi="宋体"/>
      <w:b/>
    </w:rPr>
  </w:style>
  <w:style w:type="paragraph" w:customStyle="1" w:styleId="61">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2">
    <w:name w:val="修订2"/>
    <w:semiHidden/>
    <w:qFormat/>
    <w:uiPriority w:val="99"/>
    <w:rPr>
      <w:rFonts w:ascii="Calibri" w:hAnsi="Calibri" w:eastAsia="宋体" w:cs="Times New Roman"/>
      <w:kern w:val="2"/>
      <w:sz w:val="21"/>
      <w:szCs w:val="22"/>
      <w:lang w:val="en-US" w:eastAsia="zh-CN" w:bidi="ar-SA"/>
    </w:rPr>
  </w:style>
  <w:style w:type="paragraph" w:customStyle="1" w:styleId="6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5">
    <w:name w:val="修订1"/>
    <w:semiHidden/>
    <w:qFormat/>
    <w:uiPriority w:val="99"/>
    <w:rPr>
      <w:rFonts w:ascii="Calibri" w:hAnsi="Calibri" w:eastAsia="宋体" w:cs="Times New Roman"/>
      <w:kern w:val="2"/>
      <w:sz w:val="21"/>
      <w:szCs w:val="22"/>
      <w:lang w:val="en-US" w:eastAsia="zh-CN" w:bidi="ar-SA"/>
    </w:rPr>
  </w:style>
  <w:style w:type="paragraph" w:customStyle="1" w:styleId="66">
    <w:name w:val="列表段落2"/>
    <w:basedOn w:val="1"/>
    <w:qFormat/>
    <w:uiPriority w:val="99"/>
    <w:pPr>
      <w:ind w:firstLine="420" w:firstLineChars="200"/>
    </w:pPr>
  </w:style>
  <w:style w:type="paragraph" w:customStyle="1" w:styleId="6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9">
    <w:name w:val="xl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0">
    <w:name w:val="文档正文"/>
    <w:basedOn w:val="1"/>
    <w:qFormat/>
    <w:uiPriority w:val="0"/>
    <w:pPr>
      <w:autoSpaceDE w:val="0"/>
      <w:autoSpaceDN w:val="0"/>
      <w:adjustRightInd w:val="0"/>
      <w:spacing w:line="460" w:lineRule="exact"/>
      <w:ind w:firstLine="567"/>
      <w:jc w:val="left"/>
      <w:textAlignment w:val="baseline"/>
    </w:pPr>
    <w:rPr>
      <w:rFonts w:ascii="Arial" w:hAnsi="Arial" w:eastAsia="Droid Sans Fallback" w:cs="Droid Sans Fallback"/>
      <w:kern w:val="0"/>
      <w:sz w:val="24"/>
    </w:rPr>
  </w:style>
  <w:style w:type="paragraph" w:customStyle="1" w:styleId="7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2">
    <w:name w:val="样式8"/>
    <w:basedOn w:val="1"/>
    <w:qFormat/>
    <w:uiPriority w:val="0"/>
    <w:pPr>
      <w:tabs>
        <w:tab w:val="left" w:pos="420"/>
      </w:tabs>
      <w:autoSpaceDE w:val="0"/>
      <w:autoSpaceDN w:val="0"/>
      <w:adjustRightInd w:val="0"/>
      <w:spacing w:line="360" w:lineRule="auto"/>
      <w:ind w:hanging="420"/>
      <w:jc w:val="left"/>
    </w:pPr>
    <w:rPr>
      <w:rFonts w:hint="eastAsia" w:ascii="宋体" w:hAnsi="宋体"/>
      <w:b/>
    </w:rPr>
  </w:style>
  <w:style w:type="paragraph" w:customStyle="1" w:styleId="73">
    <w:name w:val="列表段落11"/>
    <w:basedOn w:val="1"/>
    <w:qFormat/>
    <w:uiPriority w:val="34"/>
    <w:pPr>
      <w:ind w:firstLine="420" w:firstLineChars="200"/>
    </w:pPr>
  </w:style>
  <w:style w:type="paragraph" w:customStyle="1" w:styleId="74">
    <w:name w:val="正文_4"/>
    <w:qFormat/>
    <w:uiPriority w:val="0"/>
    <w:rPr>
      <w:rFonts w:ascii="Times New Roman" w:hAnsi="Times New Roman" w:eastAsia="宋体" w:cs="Times New Roman"/>
      <w:sz w:val="21"/>
      <w:lang w:val="en-US" w:eastAsia="zh-CN" w:bidi="ar-SA"/>
    </w:rPr>
  </w:style>
  <w:style w:type="paragraph" w:customStyle="1" w:styleId="75">
    <w:name w:val="样式"/>
    <w:qFormat/>
    <w:uiPriority w:val="99"/>
    <w:pPr>
      <w:widowControl w:val="0"/>
      <w:autoSpaceDE w:val="0"/>
      <w:autoSpaceDN w:val="0"/>
      <w:adjustRightInd w:val="0"/>
    </w:pPr>
    <w:rPr>
      <w:rFonts w:ascii="Times New Roman" w:hAnsi="Times New Roman" w:eastAsia="宋体" w:cs="Times New Roman"/>
      <w:sz w:val="24"/>
      <w:lang w:val="en-US" w:eastAsia="zh-CN" w:bidi="ar-SA"/>
    </w:rPr>
  </w:style>
  <w:style w:type="paragraph" w:customStyle="1" w:styleId="76">
    <w:name w:val="纯文本_0_0"/>
    <w:basedOn w:val="74"/>
    <w:unhideWhenUsed/>
    <w:qFormat/>
    <w:uiPriority w:val="0"/>
    <w:rPr>
      <w:rFonts w:ascii="宋体" w:hAnsi="Courier New"/>
      <w:sz w:val="20"/>
      <w:szCs w:val="21"/>
    </w:rPr>
  </w:style>
  <w:style w:type="paragraph" w:customStyle="1" w:styleId="77">
    <w:name w:val="样式6"/>
    <w:basedOn w:val="1"/>
    <w:next w:val="10"/>
    <w:qFormat/>
    <w:uiPriority w:val="0"/>
    <w:pPr>
      <w:tabs>
        <w:tab w:val="left" w:pos="420"/>
      </w:tabs>
      <w:autoSpaceDE w:val="0"/>
      <w:autoSpaceDN w:val="0"/>
      <w:adjustRightInd w:val="0"/>
      <w:spacing w:line="360" w:lineRule="auto"/>
      <w:ind w:hanging="420"/>
      <w:jc w:val="left"/>
    </w:pPr>
    <w:rPr>
      <w:rFonts w:hint="eastAsia" w:ascii="宋体" w:hAnsi="宋体"/>
      <w:b/>
    </w:rPr>
  </w:style>
  <w:style w:type="paragraph" w:customStyle="1" w:styleId="78">
    <w:name w:val="图"/>
    <w:basedOn w:val="1"/>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79">
    <w:name w:val="修订4"/>
    <w:semiHidden/>
    <w:qFormat/>
    <w:uiPriority w:val="99"/>
    <w:rPr>
      <w:rFonts w:ascii="Calibri" w:hAnsi="Calibri" w:eastAsia="宋体" w:cs="Times New Roman"/>
      <w:kern w:val="2"/>
      <w:sz w:val="21"/>
      <w:szCs w:val="22"/>
      <w:lang w:val="en-US" w:eastAsia="zh-CN" w:bidi="ar-SA"/>
    </w:rPr>
  </w:style>
  <w:style w:type="paragraph" w:customStyle="1" w:styleId="80">
    <w:name w:val="_Style 32"/>
    <w:basedOn w:val="1"/>
    <w:next w:val="1"/>
    <w:qFormat/>
    <w:uiPriority w:val="0"/>
    <w:pPr>
      <w:pBdr>
        <w:bottom w:val="single" w:color="auto" w:sz="6" w:space="1"/>
      </w:pBdr>
      <w:jc w:val="center"/>
    </w:pPr>
    <w:rPr>
      <w:rFonts w:ascii="Arial"/>
      <w:vanish/>
      <w:sz w:val="16"/>
    </w:rPr>
  </w:style>
  <w:style w:type="paragraph" w:customStyle="1" w:styleId="81">
    <w:name w:val="样式7"/>
    <w:basedOn w:val="1"/>
    <w:qFormat/>
    <w:uiPriority w:val="0"/>
    <w:pPr>
      <w:tabs>
        <w:tab w:val="left" w:pos="420"/>
      </w:tabs>
      <w:autoSpaceDE w:val="0"/>
      <w:autoSpaceDN w:val="0"/>
      <w:adjustRightInd w:val="0"/>
      <w:spacing w:line="360" w:lineRule="auto"/>
      <w:ind w:hanging="420"/>
      <w:jc w:val="left"/>
    </w:pPr>
    <w:rPr>
      <w:rFonts w:hint="eastAsia" w:ascii="宋体" w:hAnsi="宋体"/>
      <w:b/>
    </w:rPr>
  </w:style>
  <w:style w:type="paragraph" w:customStyle="1" w:styleId="82">
    <w:name w:val="列表段落3"/>
    <w:basedOn w:val="1"/>
    <w:qFormat/>
    <w:uiPriority w:val="34"/>
    <w:pPr>
      <w:ind w:firstLine="420" w:firstLineChars="200"/>
    </w:pPr>
  </w:style>
  <w:style w:type="paragraph" w:customStyle="1" w:styleId="83">
    <w:name w:val="Table Paragraph"/>
    <w:basedOn w:val="1"/>
    <w:qFormat/>
    <w:uiPriority w:val="1"/>
    <w:rPr>
      <w:rFonts w:ascii="宋体" w:hAnsi="宋体" w:cs="宋体"/>
      <w:szCs w:val="24"/>
      <w:lang w:val="zh-CN" w:bidi="zh-CN"/>
    </w:rPr>
  </w:style>
  <w:style w:type="paragraph" w:customStyle="1" w:styleId="84">
    <w:name w:val="样式3"/>
    <w:basedOn w:val="1"/>
    <w:next w:val="7"/>
    <w:qFormat/>
    <w:uiPriority w:val="0"/>
    <w:pPr>
      <w:tabs>
        <w:tab w:val="left" w:pos="420"/>
      </w:tabs>
      <w:autoSpaceDE w:val="0"/>
      <w:autoSpaceDN w:val="0"/>
      <w:adjustRightInd w:val="0"/>
      <w:spacing w:line="360" w:lineRule="auto"/>
      <w:ind w:left="420" w:hanging="420"/>
      <w:jc w:val="left"/>
    </w:pPr>
    <w:rPr>
      <w:rFonts w:hint="eastAsia" w:ascii="宋体" w:hAnsi="宋体"/>
      <w:b/>
    </w:rPr>
  </w:style>
  <w:style w:type="paragraph" w:customStyle="1" w:styleId="85">
    <w:name w:val="_Style 51"/>
    <w:basedOn w:val="1"/>
    <w:next w:val="54"/>
    <w:qFormat/>
    <w:uiPriority w:val="34"/>
    <w:pPr>
      <w:ind w:firstLine="420" w:firstLineChars="200"/>
    </w:pPr>
    <w:rPr>
      <w:rFonts w:ascii="Times New Roman" w:hAnsi="Times New Roman"/>
    </w:rPr>
  </w:style>
  <w:style w:type="paragraph" w:customStyle="1" w:styleId="8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7">
    <w:name w:val="p0"/>
    <w:basedOn w:val="1"/>
    <w:qFormat/>
    <w:uiPriority w:val="0"/>
    <w:pPr>
      <w:widowControl/>
    </w:pPr>
    <w:rPr>
      <w:rFonts w:ascii="Times New Roman" w:hAnsi="Times New Roman"/>
      <w:kern w:val="0"/>
      <w:szCs w:val="21"/>
    </w:rPr>
  </w:style>
  <w:style w:type="paragraph" w:customStyle="1" w:styleId="88">
    <w:name w:val="样式2"/>
    <w:basedOn w:val="6"/>
    <w:next w:val="1"/>
    <w:qFormat/>
    <w:uiPriority w:val="0"/>
    <w:pPr>
      <w:tabs>
        <w:tab w:val="left" w:pos="420"/>
      </w:tabs>
      <w:autoSpaceDE w:val="0"/>
      <w:autoSpaceDN w:val="0"/>
      <w:adjustRightInd w:val="0"/>
      <w:spacing w:line="360" w:lineRule="auto"/>
      <w:ind w:left="420" w:hanging="420"/>
      <w:jc w:val="left"/>
    </w:pPr>
    <w:rPr>
      <w:rFonts w:hint="eastAsia" w:ascii="宋体" w:hAnsi="宋体"/>
    </w:rPr>
  </w:style>
  <w:style w:type="paragraph" w:customStyle="1" w:styleId="89">
    <w:name w:val="xl65"/>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90">
    <w:name w:val="xl66"/>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9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92">
    <w:name w:val="修订3"/>
    <w:semiHidden/>
    <w:qFormat/>
    <w:uiPriority w:val="99"/>
    <w:rPr>
      <w:rFonts w:ascii="Calibri" w:hAnsi="Calibri" w:eastAsia="宋体" w:cs="Times New Roman"/>
      <w:kern w:val="2"/>
      <w:sz w:val="21"/>
      <w:szCs w:val="22"/>
      <w:lang w:val="en-US" w:eastAsia="zh-CN" w:bidi="ar-SA"/>
    </w:rPr>
  </w:style>
  <w:style w:type="paragraph" w:customStyle="1" w:styleId="93">
    <w:name w:val="修订5"/>
    <w:semiHidden/>
    <w:qFormat/>
    <w:uiPriority w:val="99"/>
    <w:rPr>
      <w:rFonts w:ascii="Calibri" w:hAnsi="Calibri" w:eastAsia="宋体" w:cs="Times New Roman"/>
      <w:kern w:val="2"/>
      <w:sz w:val="21"/>
      <w:szCs w:val="22"/>
      <w:lang w:val="en-US" w:eastAsia="zh-CN" w:bidi="ar-SA"/>
    </w:rPr>
  </w:style>
  <w:style w:type="paragraph" w:customStyle="1" w:styleId="94">
    <w:name w:val="样式4"/>
    <w:basedOn w:val="1"/>
    <w:next w:val="8"/>
    <w:qFormat/>
    <w:uiPriority w:val="0"/>
    <w:pPr>
      <w:tabs>
        <w:tab w:val="left" w:pos="420"/>
      </w:tabs>
      <w:autoSpaceDE w:val="0"/>
      <w:autoSpaceDN w:val="0"/>
      <w:adjustRightInd w:val="0"/>
      <w:spacing w:line="360" w:lineRule="auto"/>
      <w:ind w:left="420" w:hanging="420"/>
      <w:jc w:val="left"/>
    </w:pPr>
    <w:rPr>
      <w:rFonts w:hint="eastAsia" w:ascii="宋体" w:hAnsi="宋体"/>
      <w:b/>
    </w:rPr>
  </w:style>
  <w:style w:type="paragraph" w:customStyle="1" w:styleId="95">
    <w:name w:val="样式1"/>
    <w:basedOn w:val="1"/>
    <w:qFormat/>
    <w:uiPriority w:val="0"/>
    <w:pPr>
      <w:tabs>
        <w:tab w:val="left" w:pos="420"/>
      </w:tabs>
      <w:autoSpaceDE w:val="0"/>
      <w:autoSpaceDN w:val="0"/>
      <w:adjustRightInd w:val="0"/>
      <w:ind w:left="420" w:hanging="420"/>
      <w:jc w:val="left"/>
    </w:pPr>
    <w:rPr>
      <w:rFonts w:hint="eastAsia" w:ascii="宋体" w:hAnsi="宋体"/>
      <w:b/>
    </w:rPr>
  </w:style>
  <w:style w:type="paragraph" w:customStyle="1" w:styleId="96">
    <w:name w:val="修订6"/>
    <w:unhideWhenUsed/>
    <w:qFormat/>
    <w:uiPriority w:val="99"/>
    <w:rPr>
      <w:rFonts w:ascii="Calibri" w:hAnsi="Calibri" w:eastAsia="宋体" w:cs="Times New Roman"/>
      <w:kern w:val="2"/>
      <w:sz w:val="21"/>
      <w:szCs w:val="22"/>
      <w:lang w:val="en-US" w:eastAsia="zh-CN" w:bidi="ar-SA"/>
    </w:rPr>
  </w:style>
  <w:style w:type="paragraph" w:styleId="97">
    <w:name w:val="List Paragraph"/>
    <w:basedOn w:val="1"/>
    <w:unhideWhenUsed/>
    <w:qFormat/>
    <w:uiPriority w:val="34"/>
    <w:pPr>
      <w:ind w:firstLine="420" w:firstLineChars="200"/>
    </w:pPr>
  </w:style>
  <w:style w:type="paragraph" w:customStyle="1" w:styleId="98">
    <w:name w:val="修订7"/>
    <w:hidden/>
    <w:semiHidden/>
    <w:qFormat/>
    <w:uiPriority w:val="99"/>
    <w:rPr>
      <w:rFonts w:ascii="Calibri" w:hAnsi="Calibri" w:eastAsia="宋体" w:cs="Times New Roman"/>
      <w:kern w:val="2"/>
      <w:sz w:val="21"/>
      <w:szCs w:val="22"/>
      <w:lang w:val="en-US" w:eastAsia="zh-CN" w:bidi="ar-SA"/>
    </w:rPr>
  </w:style>
  <w:style w:type="character" w:customStyle="1" w:styleId="99">
    <w:name w:val="标题 4 字符"/>
    <w:basedOn w:val="28"/>
    <w:link w:val="5"/>
    <w:semiHidden/>
    <w:qFormat/>
    <w:uiPriority w:val="9"/>
    <w:rPr>
      <w:rFonts w:asciiTheme="majorHAnsi" w:hAnsiTheme="majorHAnsi" w:eastAsiaTheme="majorEastAsia" w:cstheme="majorBidi"/>
      <w:b/>
      <w:bCs/>
      <w:kern w:val="2"/>
      <w:sz w:val="28"/>
      <w:szCs w:val="28"/>
    </w:rPr>
  </w:style>
  <w:style w:type="table" w:customStyle="1" w:styleId="100">
    <w:name w:val="网格型1"/>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1">
    <w:name w:val="表格文字"/>
    <w:basedOn w:val="1"/>
    <w:qFormat/>
    <w:uiPriority w:val="0"/>
    <w:pPr>
      <w:spacing w:before="25" w:after="25"/>
      <w:jc w:val="left"/>
    </w:pPr>
    <w:rPr>
      <w:rFonts w:ascii="Times New Roman" w:hAnsi="Times New Roman"/>
      <w:bCs/>
      <w:spacing w:val="10"/>
      <w:kern w:val="0"/>
      <w:sz w:val="24"/>
      <w:szCs w:val="20"/>
    </w:rPr>
  </w:style>
  <w:style w:type="table" w:customStyle="1" w:styleId="102">
    <w:name w:val="网格型2"/>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3">
    <w:name w:val="正文1"/>
    <w:qFormat/>
    <w:uiPriority w:val="0"/>
    <w:pPr>
      <w:jc w:val="both"/>
    </w:pPr>
    <w:rPr>
      <w:rFonts w:ascii="Calibri" w:hAnsi="Calibri" w:eastAsia="宋体" w:cs="Calibri"/>
      <w:kern w:val="2"/>
      <w:sz w:val="21"/>
      <w:szCs w:val="21"/>
      <w:lang w:val="en-US" w:eastAsia="zh-CN" w:bidi="ar-SA"/>
    </w:rPr>
  </w:style>
  <w:style w:type="character" w:customStyle="1" w:styleId="104">
    <w:name w:val="普通(网站) 字符"/>
    <w:basedOn w:val="28"/>
    <w:link w:val="22"/>
    <w:qFormat/>
    <w:uiPriority w:val="0"/>
    <w:rPr>
      <w:rFonts w:hint="eastAsia" w:ascii="宋体" w:hAnsi="宋体" w:eastAsia="宋体" w:cs="宋体"/>
      <w:sz w:val="24"/>
      <w:szCs w:val="24"/>
    </w:rPr>
  </w:style>
  <w:style w:type="character" w:customStyle="1" w:styleId="105">
    <w:name w:val="批注文字 字符"/>
    <w:basedOn w:val="28"/>
    <w:link w:val="12"/>
    <w:qFormat/>
    <w:uiPriority w:val="0"/>
    <w:rPr>
      <w:rFonts w:hint="default" w:ascii="Calibri" w:hAnsi="Calibri" w:cs="Calibri"/>
      <w:kern w:val="2"/>
      <w:sz w:val="21"/>
      <w:szCs w:val="22"/>
    </w:rPr>
  </w:style>
  <w:style w:type="character" w:customStyle="1" w:styleId="106">
    <w:name w:val="纯文本 字符"/>
    <w:basedOn w:val="28"/>
    <w:link w:val="15"/>
    <w:qFormat/>
    <w:uiPriority w:val="0"/>
    <w:rPr>
      <w:rFonts w:hint="eastAsia" w:ascii="宋体" w:hAnsi="Courier New" w:eastAsia="宋体" w:cs="Times New Roman"/>
      <w:szCs w:val="21"/>
    </w:rPr>
  </w:style>
  <w:style w:type="character" w:customStyle="1" w:styleId="107">
    <w:name w:val="页脚 字符"/>
    <w:basedOn w:val="28"/>
    <w:link w:val="18"/>
    <w:qFormat/>
    <w:uiPriority w:val="0"/>
    <w:rPr>
      <w:rFonts w:hint="default" w:ascii="Calibri" w:hAnsi="Calibri" w:eastAsia="宋体" w:cs="Times New Roman"/>
      <w:kern w:val="2"/>
      <w:sz w:val="18"/>
      <w:szCs w:val="18"/>
    </w:rPr>
  </w:style>
  <w:style w:type="character" w:customStyle="1" w:styleId="108">
    <w:name w:val="标题 2 字符"/>
    <w:basedOn w:val="28"/>
    <w:link w:val="3"/>
    <w:qFormat/>
    <w:uiPriority w:val="0"/>
    <w:rPr>
      <w:rFonts w:hint="default" w:ascii="Cambria" w:hAnsi="Cambria" w:eastAsia="宋体" w:cs="Times New Roman"/>
      <w:b/>
      <w:bCs/>
      <w:kern w:val="2"/>
      <w:sz w:val="32"/>
      <w:szCs w:val="32"/>
    </w:rPr>
  </w:style>
  <w:style w:type="paragraph" w:customStyle="1" w:styleId="109">
    <w:name w:val="msolistparagraph"/>
    <w:basedOn w:val="1"/>
    <w:qFormat/>
    <w:uiPriority w:val="0"/>
    <w:pPr>
      <w:ind w:firstLine="420" w:firstLineChars="200"/>
    </w:pPr>
  </w:style>
  <w:style w:type="character" w:customStyle="1" w:styleId="110">
    <w:name w:val="标题 1 字符"/>
    <w:basedOn w:val="28"/>
    <w:link w:val="2"/>
    <w:qFormat/>
    <w:uiPriority w:val="0"/>
    <w:rPr>
      <w:rFonts w:hint="default" w:ascii="Calibri" w:hAnsi="Calibri" w:eastAsia="宋体" w:cs="Times New Roman"/>
      <w:b/>
      <w:bCs/>
      <w:kern w:val="44"/>
      <w:sz w:val="44"/>
      <w:szCs w:val="44"/>
    </w:rPr>
  </w:style>
  <w:style w:type="character" w:customStyle="1" w:styleId="111">
    <w:name w:val="正文文本 字符"/>
    <w:basedOn w:val="28"/>
    <w:link w:val="13"/>
    <w:qFormat/>
    <w:uiPriority w:val="0"/>
    <w:rPr>
      <w:rFonts w:hint="default" w:ascii="Calibri" w:hAnsi="Calibri" w:cs="Calibri"/>
      <w:kern w:val="2"/>
      <w:sz w:val="21"/>
      <w:szCs w:val="24"/>
    </w:rPr>
  </w:style>
  <w:style w:type="character" w:customStyle="1" w:styleId="112">
    <w:name w:val="标题 字符"/>
    <w:basedOn w:val="28"/>
    <w:link w:val="23"/>
    <w:qFormat/>
    <w:uiPriority w:val="0"/>
    <w:rPr>
      <w:rFonts w:hint="default" w:ascii="Cambria" w:hAnsi="Cambria" w:eastAsia="Cambria" w:cs="Cambria"/>
      <w:b/>
      <w:bCs/>
      <w:kern w:val="2"/>
      <w:sz w:val="32"/>
      <w:szCs w:val="32"/>
    </w:rPr>
  </w:style>
  <w:style w:type="paragraph" w:customStyle="1" w:styleId="113">
    <w:name w:val="一级标题"/>
    <w:basedOn w:val="1"/>
    <w:qFormat/>
    <w:uiPriority w:val="0"/>
    <w:pPr>
      <w:numPr>
        <w:ilvl w:val="0"/>
        <w:numId w:val="1"/>
      </w:numPr>
      <w:jc w:val="left"/>
      <w:outlineLvl w:val="0"/>
    </w:pPr>
    <w:rPr>
      <w:rFonts w:hint="eastAsia" w:ascii="黑体" w:hAnsi="宋体" w:eastAsia="黑体"/>
      <w:sz w:val="30"/>
      <w:szCs w:val="30"/>
    </w:rPr>
  </w:style>
  <w:style w:type="character" w:customStyle="1" w:styleId="114">
    <w:name w:val="标题 3 字符"/>
    <w:basedOn w:val="28"/>
    <w:link w:val="4"/>
    <w:qFormat/>
    <w:uiPriority w:val="0"/>
    <w:rPr>
      <w:rFonts w:hint="default" w:ascii="Calibri" w:hAnsi="Calibri" w:cs="Calibri"/>
      <w:b/>
      <w:bCs/>
      <w:kern w:val="2"/>
      <w:sz w:val="32"/>
      <w:szCs w:val="32"/>
    </w:rPr>
  </w:style>
  <w:style w:type="paragraph" w:customStyle="1" w:styleId="115">
    <w:name w:val="Table Text"/>
    <w:basedOn w:val="1"/>
    <w:hidden/>
    <w:qFormat/>
    <w:uiPriority w:val="0"/>
    <w:rPr>
      <w:rFonts w:hint="eastAsia" w:ascii="宋体" w:hAnsi="宋体"/>
      <w:sz w:val="20"/>
      <w:szCs w:val="20"/>
    </w:rPr>
  </w:style>
  <w:style w:type="table" w:customStyle="1" w:styleId="116">
    <w:name w:val="Table Normal"/>
    <w:basedOn w:val="26"/>
    <w:qFormat/>
    <w:uiPriority w:val="0"/>
    <w:tblPr>
      <w:tblCellMar>
        <w:left w:w="0" w:type="dxa"/>
        <w:right w:w="0" w:type="dxa"/>
      </w:tblCellMar>
    </w:tblPr>
  </w:style>
  <w:style w:type="character" w:customStyle="1" w:styleId="117">
    <w:name w:val="页眉 字符"/>
    <w:basedOn w:val="28"/>
    <w:link w:val="19"/>
    <w:qFormat/>
    <w:uiPriority w:val="0"/>
    <w:rPr>
      <w:rFonts w:hint="default" w:ascii="Calibri" w:hAnsi="Calibri" w:cs="Calibri"/>
      <w:kern w:val="2"/>
      <w:sz w:val="18"/>
      <w:szCs w:val="22"/>
    </w:rPr>
  </w:style>
  <w:style w:type="paragraph" w:customStyle="1" w:styleId="118">
    <w:name w:val="msonospacing"/>
    <w:basedOn w:val="1"/>
    <w:qFormat/>
    <w:uiPriority w:val="0"/>
    <w:pPr>
      <w:widowControl/>
      <w:jc w:val="left"/>
    </w:pPr>
    <w:rPr>
      <w:sz w:val="22"/>
    </w:rPr>
  </w:style>
  <w:style w:type="character" w:customStyle="1" w:styleId="119">
    <w:name w:val="日期 字符"/>
    <w:basedOn w:val="28"/>
    <w:link w:val="16"/>
    <w:qFormat/>
    <w:uiPriority w:val="0"/>
    <w:rPr>
      <w:rFonts w:hint="default" w:ascii="Times New Roman" w:hAnsi="Times New Roman" w:cs="Arial"/>
      <w:sz w:val="30"/>
    </w:rPr>
  </w:style>
  <w:style w:type="paragraph" w:customStyle="1" w:styleId="120">
    <w:name w:val="CM21"/>
    <w:basedOn w:val="121"/>
    <w:qFormat/>
    <w:uiPriority w:val="0"/>
    <w:pPr>
      <w:widowControl/>
      <w:spacing w:line="468" w:lineRule="atLeast"/>
    </w:pPr>
    <w:rPr>
      <w:rFonts w:hint="eastAsia" w:ascii="黑体" w:eastAsia="黑体"/>
      <w:color w:val="auto"/>
    </w:rPr>
  </w:style>
  <w:style w:type="paragraph" w:customStyle="1" w:styleId="121">
    <w:name w:val="Default"/>
    <w:basedOn w:val="1"/>
    <w:qFormat/>
    <w:uiPriority w:val="0"/>
    <w:pPr>
      <w:autoSpaceDE w:val="0"/>
      <w:autoSpaceDN w:val="0"/>
      <w:adjustRightInd w:val="0"/>
      <w:jc w:val="left"/>
    </w:pPr>
    <w:rPr>
      <w:rFonts w:ascii="Times New Roman" w:hAnsi="Times New Roman"/>
      <w:color w:val="000000"/>
      <w:kern w:val="0"/>
      <w:sz w:val="24"/>
      <w:szCs w:val="24"/>
    </w:rPr>
  </w:style>
  <w:style w:type="paragraph" w:customStyle="1" w:styleId="122">
    <w:name w:val="封面2"/>
    <w:basedOn w:val="1"/>
    <w:qFormat/>
    <w:uiPriority w:val="0"/>
    <w:pPr>
      <w:spacing w:line="360" w:lineRule="auto"/>
      <w:jc w:val="center"/>
    </w:pPr>
    <w:rPr>
      <w:rFonts w:ascii="黑体" w:hAnsi="宋体" w:eastAsia="黑体"/>
      <w:b/>
      <w:spacing w:val="-30"/>
      <w:sz w:val="96"/>
    </w:rPr>
  </w:style>
  <w:style w:type="character" w:customStyle="1" w:styleId="123">
    <w:name w:val="font41"/>
    <w:basedOn w:val="28"/>
    <w:qFormat/>
    <w:uiPriority w:val="0"/>
    <w:rPr>
      <w:rFonts w:ascii="Arial" w:hAnsi="Arial" w:cs="Arial"/>
      <w:color w:val="000000"/>
      <w:sz w:val="18"/>
      <w:szCs w:val="18"/>
      <w:u w:val="none"/>
    </w:rPr>
  </w:style>
  <w:style w:type="character" w:customStyle="1" w:styleId="124">
    <w:name w:val="font11"/>
    <w:basedOn w:val="2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36</Pages>
  <Words>2454</Words>
  <Characters>2454</Characters>
  <Lines>134</Lines>
  <Paragraphs>37</Paragraphs>
  <TotalTime>3</TotalTime>
  <ScaleCrop>false</ScaleCrop>
  <LinksUpToDate>false</LinksUpToDate>
  <CharactersWithSpaces>2456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2023-08-08T03:36:00Z</dcterms:created>
  <dc:creator>用户</dc:creator>
  <cp:lastModifiedBy>Administrator</cp:lastModifiedBy>
  <cp:lastPrinted>2024-12-19T07:05:00Z</cp:lastPrinted>
  <dcterms:modified xsi:type="dcterms:W3CDTF">2024-12-19T07:38:13Z</dcterms:modified>
  <dc:title>竞价文件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35B505408A8E410798661172BEEF6493_13</vt:lpwstr>
  </property>
</Properties>
</file>