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2"/>
          <w:szCs w:val="24"/>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jc w:val="center"/>
        <w:rPr>
          <w:rFonts w:ascii="宋体" w:hAnsi="宋体"/>
          <w:szCs w:val="21"/>
        </w:rPr>
      </w:pPr>
    </w:p>
    <w:p>
      <w:pPr>
        <w:snapToGrid w:val="0"/>
        <w:spacing w:before="156" w:beforeLines="50"/>
        <w:jc w:val="center"/>
        <w:rPr>
          <w:rFonts w:ascii="宋体" w:hAnsi="宋体"/>
          <w:b/>
          <w:szCs w:val="21"/>
        </w:rPr>
      </w:pPr>
    </w:p>
    <w:p>
      <w:pPr>
        <w:snapToGrid w:val="0"/>
        <w:spacing w:before="156" w:beforeLines="50"/>
        <w:jc w:val="center"/>
        <w:rPr>
          <w:rFonts w:ascii="宋体" w:hAnsi="宋体"/>
          <w:b/>
          <w:sz w:val="84"/>
          <w:szCs w:val="84"/>
        </w:rPr>
      </w:pPr>
      <w:r>
        <w:rPr>
          <w:rFonts w:hint="eastAsia" w:ascii="宋体" w:hAnsi="宋体"/>
          <w:b/>
          <w:sz w:val="84"/>
          <w:szCs w:val="84"/>
        </w:rPr>
        <w:t>竞价文件</w:t>
      </w: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left"/>
        <w:rPr>
          <w:rFonts w:ascii="宋体" w:hAnsi="宋体"/>
          <w:b/>
          <w:bCs/>
          <w:sz w:val="28"/>
          <w:szCs w:val="32"/>
        </w:rPr>
      </w:pPr>
      <w:r>
        <w:rPr>
          <w:rFonts w:ascii="宋体" w:hAnsi="宋体"/>
          <w:b/>
          <w:bCs/>
          <w:sz w:val="28"/>
          <w:szCs w:val="32"/>
        </w:rPr>
        <w:t>采购方式：</w:t>
      </w:r>
      <w:r>
        <w:rPr>
          <w:rFonts w:hint="eastAsia" w:ascii="宋体" w:hAnsi="宋体"/>
          <w:b/>
          <w:bCs/>
          <w:sz w:val="28"/>
          <w:szCs w:val="32"/>
        </w:rPr>
        <w:t>线上</w:t>
      </w:r>
      <w:r>
        <w:rPr>
          <w:rFonts w:ascii="宋体" w:hAnsi="宋体"/>
          <w:b/>
          <w:bCs/>
          <w:sz w:val="28"/>
          <w:szCs w:val="32"/>
        </w:rPr>
        <w:t>竞价</w:t>
      </w:r>
    </w:p>
    <w:p>
      <w:pPr>
        <w:spacing w:line="360" w:lineRule="auto"/>
        <w:jc w:val="left"/>
        <w:rPr>
          <w:rFonts w:ascii="宋体" w:hAnsi="宋体"/>
          <w:b/>
          <w:bCs/>
          <w:szCs w:val="21"/>
          <w:u w:val="single"/>
        </w:rPr>
      </w:pPr>
      <w:r>
        <w:rPr>
          <w:rFonts w:ascii="宋体" w:hAnsi="宋体"/>
          <w:b/>
          <w:bCs/>
          <w:sz w:val="28"/>
          <w:szCs w:val="32"/>
        </w:rPr>
        <w:t>项目名称：</w:t>
      </w:r>
      <w:r>
        <w:rPr>
          <w:rFonts w:hint="eastAsia" w:ascii="宋体" w:hAnsi="宋体"/>
          <w:b/>
          <w:bCs/>
          <w:sz w:val="28"/>
          <w:szCs w:val="32"/>
          <w:u w:val="single"/>
          <w:lang w:eastAsia="zh-CN"/>
        </w:rPr>
        <w:t>广东省广裕集团阳春实业有限公司生产区绿化带砌花基项目（第三次竞价）</w:t>
      </w:r>
      <w:bookmarkStart w:id="4" w:name="_GoBack"/>
      <w:bookmarkEnd w:id="4"/>
    </w:p>
    <w:p>
      <w:pPr>
        <w:autoSpaceDE w:val="0"/>
        <w:autoSpaceDN w:val="0"/>
        <w:adjustRightInd w:val="0"/>
        <w:snapToGrid w:val="0"/>
        <w:spacing w:before="156" w:beforeLines="50" w:after="156" w:afterLines="50" w:line="360" w:lineRule="auto"/>
        <w:jc w:val="center"/>
        <w:rPr>
          <w:rFonts w:ascii="宋体" w:hAnsi="宋体" w:cs="华文中宋"/>
          <w:szCs w:val="21"/>
        </w:rPr>
      </w:pPr>
    </w:p>
    <w:p>
      <w:pPr>
        <w:autoSpaceDE w:val="0"/>
        <w:autoSpaceDN w:val="0"/>
        <w:adjustRightInd w:val="0"/>
        <w:snapToGrid w:val="0"/>
        <w:spacing w:before="156" w:beforeLines="50" w:after="156" w:afterLines="50" w:line="360" w:lineRule="auto"/>
        <w:jc w:val="center"/>
        <w:rPr>
          <w:rFonts w:ascii="宋体" w:hAnsi="宋体" w:cs="华文中宋"/>
          <w:szCs w:val="21"/>
        </w:rPr>
      </w:pPr>
    </w:p>
    <w:p>
      <w:pPr>
        <w:autoSpaceDE w:val="0"/>
        <w:autoSpaceDN w:val="0"/>
        <w:adjustRightInd w:val="0"/>
        <w:snapToGrid w:val="0"/>
        <w:spacing w:before="156" w:beforeLines="50" w:after="156" w:afterLines="50" w:line="360" w:lineRule="auto"/>
        <w:jc w:val="center"/>
        <w:rPr>
          <w:rFonts w:ascii="宋体" w:hAnsi="宋体" w:cs="华文中宋"/>
          <w:szCs w:val="21"/>
        </w:rPr>
      </w:pPr>
    </w:p>
    <w:p>
      <w:pPr>
        <w:autoSpaceDE w:val="0"/>
        <w:autoSpaceDN w:val="0"/>
        <w:adjustRightInd w:val="0"/>
        <w:snapToGrid w:val="0"/>
        <w:spacing w:line="360" w:lineRule="auto"/>
        <w:ind w:left="420" w:firstLine="420"/>
        <w:jc w:val="center"/>
        <w:rPr>
          <w:rFonts w:ascii="宋体" w:hAnsi="宋体"/>
          <w:b/>
          <w:bCs/>
          <w:sz w:val="28"/>
          <w:szCs w:val="32"/>
        </w:rPr>
      </w:pPr>
      <w:r>
        <w:rPr>
          <w:rFonts w:hint="eastAsia" w:ascii="宋体" w:hAnsi="宋体"/>
          <w:b/>
          <w:bCs/>
          <w:sz w:val="28"/>
          <w:szCs w:val="32"/>
        </w:rPr>
        <w:t>广东省广裕集团阳春实业有限公司</w:t>
      </w:r>
    </w:p>
    <w:p>
      <w:pPr>
        <w:autoSpaceDE w:val="0"/>
        <w:autoSpaceDN w:val="0"/>
        <w:adjustRightInd w:val="0"/>
        <w:snapToGrid w:val="0"/>
        <w:spacing w:line="360" w:lineRule="auto"/>
        <w:ind w:left="420" w:firstLine="420"/>
        <w:jc w:val="center"/>
        <w:rPr>
          <w:rFonts w:ascii="宋体" w:hAnsi="宋体"/>
          <w:b/>
          <w:bCs/>
          <w:sz w:val="28"/>
          <w:szCs w:val="32"/>
        </w:rPr>
      </w:pPr>
      <w:r>
        <w:rPr>
          <w:rFonts w:ascii="宋体" w:hAnsi="宋体"/>
          <w:b/>
          <w:bCs/>
          <w:sz w:val="28"/>
          <w:szCs w:val="32"/>
        </w:rPr>
        <w:t>云采链（广州）信息科技有限公司</w:t>
      </w:r>
    </w:p>
    <w:p>
      <w:pPr>
        <w:autoSpaceDE w:val="0"/>
        <w:autoSpaceDN w:val="0"/>
        <w:adjustRightInd w:val="0"/>
        <w:snapToGrid w:val="0"/>
        <w:spacing w:line="360" w:lineRule="auto"/>
        <w:ind w:left="420" w:firstLine="420"/>
        <w:jc w:val="center"/>
        <w:rPr>
          <w:rFonts w:ascii="宋体" w:hAnsi="宋体"/>
          <w:b/>
          <w:bCs/>
          <w:sz w:val="28"/>
          <w:szCs w:val="32"/>
        </w:rPr>
      </w:pPr>
      <w:r>
        <w:rPr>
          <w:rFonts w:hint="eastAsia" w:ascii="宋体" w:hAnsi="宋体"/>
          <w:b/>
          <w:bCs/>
          <w:sz w:val="28"/>
          <w:szCs w:val="32"/>
        </w:rPr>
        <w:t>二零二四年五</w:t>
      </w:r>
      <w:r>
        <w:rPr>
          <w:rFonts w:ascii="宋体" w:hAnsi="宋体"/>
          <w:b/>
          <w:bCs/>
          <w:sz w:val="28"/>
          <w:szCs w:val="32"/>
        </w:rPr>
        <w:t>月</w:t>
      </w:r>
    </w:p>
    <w:p>
      <w:pPr>
        <w:rPr>
          <w:rFonts w:ascii="宋体" w:hAnsi="宋体"/>
        </w:rPr>
      </w:pPr>
    </w:p>
    <w:p>
      <w:pPr>
        <w:pStyle w:val="24"/>
        <w:autoSpaceDE w:val="0"/>
        <w:autoSpaceDN w:val="0"/>
        <w:adjustRightInd w:val="0"/>
        <w:spacing w:before="0" w:after="0" w:line="360" w:lineRule="auto"/>
        <w:rPr>
          <w:rFonts w:ascii="宋体" w:hAnsi="宋体"/>
        </w:rPr>
      </w:pPr>
      <w:r>
        <w:rPr>
          <w:rFonts w:ascii="宋体" w:hAnsi="宋体"/>
          <w:sz w:val="21"/>
          <w:szCs w:val="21"/>
        </w:rPr>
        <w:br w:type="page"/>
      </w:r>
      <w:r>
        <w:rPr>
          <w:rFonts w:hint="eastAsia" w:ascii="宋体" w:hAnsi="宋体"/>
          <w:lang w:val="zh-CN"/>
        </w:rPr>
        <w:t>第一章</w:t>
      </w:r>
      <w:r>
        <w:rPr>
          <w:rFonts w:hint="eastAsia" w:ascii="宋体" w:hAnsi="宋体"/>
        </w:rPr>
        <w:t xml:space="preserve"> </w:t>
      </w:r>
      <w:r>
        <w:rPr>
          <w:rFonts w:hint="eastAsia" w:ascii="宋体" w:hAnsi="宋体"/>
          <w:lang w:val="zh-CN"/>
        </w:rPr>
        <w:t>竞价须知</w:t>
      </w:r>
    </w:p>
    <w:p>
      <w:pPr>
        <w:spacing w:line="360" w:lineRule="auto"/>
        <w:ind w:left="632" w:leftChars="100" w:hanging="422" w:hangingChars="200"/>
        <w:rPr>
          <w:rFonts w:hint="eastAsia" w:ascii="宋体" w:hAnsi="宋体" w:eastAsia="宋体"/>
          <w:szCs w:val="21"/>
          <w:lang w:eastAsia="zh-CN"/>
        </w:rPr>
      </w:pPr>
      <w:r>
        <w:rPr>
          <w:rFonts w:hint="eastAsia" w:ascii="宋体" w:hAnsi="宋体"/>
          <w:b/>
          <w:szCs w:val="21"/>
        </w:rPr>
        <w:t>项目名称：</w:t>
      </w:r>
      <w:r>
        <w:rPr>
          <w:rFonts w:hint="eastAsia" w:ascii="宋体" w:hAnsi="宋体"/>
          <w:szCs w:val="21"/>
          <w:lang w:eastAsia="zh-CN"/>
        </w:rPr>
        <w:t>广东省广裕集团阳春实业有限公司生产区绿化带砌花基项目（第三次竞价）</w:t>
      </w:r>
    </w:p>
    <w:p>
      <w:pPr>
        <w:pStyle w:val="73"/>
        <w:numPr>
          <w:ilvl w:val="0"/>
          <w:numId w:val="3"/>
        </w:numPr>
        <w:spacing w:line="360" w:lineRule="auto"/>
        <w:ind w:left="630" w:leftChars="100" w:hangingChars="200"/>
        <w:rPr>
          <w:rFonts w:ascii="宋体" w:hAnsi="宋体"/>
        </w:rPr>
      </w:pPr>
      <w:r>
        <w:rPr>
          <w:rFonts w:hint="eastAsia" w:ascii="宋体" w:hAnsi="宋体"/>
          <w:szCs w:val="21"/>
        </w:rPr>
        <w:t>本项目通过云采链线上采购一体化平台进行竞价，参与竞价的供应商必须登录平台进行注册，注册成功后方可参与项目竞价。</w:t>
      </w:r>
    </w:p>
    <w:p>
      <w:pPr>
        <w:pStyle w:val="73"/>
        <w:numPr>
          <w:ilvl w:val="0"/>
          <w:numId w:val="3"/>
        </w:numPr>
        <w:spacing w:line="360" w:lineRule="auto"/>
        <w:ind w:left="630" w:leftChars="100" w:hangingChars="200"/>
        <w:rPr>
          <w:rFonts w:ascii="宋体" w:hAnsi="宋体"/>
        </w:rPr>
      </w:pPr>
      <w:r>
        <w:rPr>
          <w:rFonts w:hint="eastAsia" w:ascii="宋体" w:hAnsi="宋体"/>
        </w:rPr>
        <w:t>语言要求</w:t>
      </w:r>
    </w:p>
    <w:p>
      <w:pPr>
        <w:pStyle w:val="73"/>
        <w:spacing w:line="360" w:lineRule="auto"/>
        <w:ind w:left="630" w:leftChars="300" w:firstLine="0" w:firstLineChars="0"/>
        <w:rPr>
          <w:rFonts w:ascii="宋体" w:hAnsi="宋体"/>
        </w:rPr>
      </w:pPr>
      <w:r>
        <w:rPr>
          <w:rFonts w:hint="eastAsia" w:ascii="宋体" w:hAnsi="宋体"/>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73"/>
        <w:numPr>
          <w:ilvl w:val="0"/>
          <w:numId w:val="3"/>
        </w:numPr>
        <w:spacing w:line="360" w:lineRule="auto"/>
        <w:ind w:left="630" w:leftChars="100" w:hangingChars="200"/>
        <w:rPr>
          <w:rFonts w:ascii="宋体" w:hAnsi="宋体"/>
        </w:rPr>
      </w:pPr>
      <w:r>
        <w:rPr>
          <w:rFonts w:hint="eastAsia" w:ascii="宋体" w:hAnsi="宋体"/>
        </w:rPr>
        <w:t>在云采链平台参与项目竞价后放弃成交资格超过三次（含三次）的供应商连同该供应商同一法人名下所有公司将被列入平台黑名单，永久不得参与平台的项目竞价。</w:t>
      </w:r>
    </w:p>
    <w:p>
      <w:pPr>
        <w:pStyle w:val="73"/>
        <w:numPr>
          <w:ilvl w:val="0"/>
          <w:numId w:val="3"/>
        </w:numPr>
        <w:spacing w:line="360" w:lineRule="auto"/>
        <w:ind w:left="632" w:leftChars="100" w:hanging="422" w:hangingChars="200"/>
        <w:rPr>
          <w:rFonts w:ascii="宋体" w:hAnsi="宋体"/>
        </w:rPr>
      </w:pPr>
      <w:r>
        <w:rPr>
          <w:rFonts w:hint="eastAsia" w:ascii="宋体" w:hAnsi="宋体" w:cs="Segoe UI"/>
          <w:b/>
          <w:bCs/>
          <w:szCs w:val="21"/>
          <w:shd w:val="clear" w:color="auto" w:fill="FFFFFF"/>
        </w:rPr>
        <w:t>参与采购人项目竞价过程中有围标串标等违规情况或因自身原因放弃成交资格的供应商不得再参与采购人重新启动的项目竞价，有围标串标等违规情况或因自身原因放弃成交资格的供应商将被列入采购人黑名单，一年内不得参与采购人的项目竞价。</w:t>
      </w:r>
    </w:p>
    <w:p>
      <w:pPr>
        <w:pStyle w:val="73"/>
        <w:numPr>
          <w:ilvl w:val="0"/>
          <w:numId w:val="3"/>
        </w:numPr>
        <w:spacing w:line="360" w:lineRule="auto"/>
        <w:ind w:left="630" w:leftChars="100" w:hangingChars="200"/>
        <w:rPr>
          <w:rFonts w:ascii="宋体" w:hAnsi="宋体"/>
          <w:szCs w:val="21"/>
        </w:rPr>
      </w:pPr>
      <w:r>
        <w:rPr>
          <w:rFonts w:hint="eastAsia" w:ascii="宋体" w:hAnsi="宋体"/>
          <w:szCs w:val="21"/>
        </w:rPr>
        <w:t>竞价须知</w:t>
      </w:r>
    </w:p>
    <w:p>
      <w:pPr>
        <w:pStyle w:val="54"/>
        <w:numPr>
          <w:ilvl w:val="0"/>
          <w:numId w:val="2"/>
        </w:numPr>
        <w:spacing w:line="360" w:lineRule="auto"/>
        <w:ind w:left="632" w:leftChars="100" w:hanging="422" w:hangingChars="200"/>
        <w:rPr>
          <w:rFonts w:ascii="宋体" w:hAnsi="宋体"/>
          <w:b/>
          <w:szCs w:val="21"/>
        </w:rPr>
      </w:pPr>
      <w:r>
        <w:rPr>
          <w:rStyle w:val="29"/>
          <w:rFonts w:hint="eastAsia" w:ascii="宋体" w:hAnsi="宋体"/>
          <w:szCs w:val="21"/>
        </w:rPr>
        <w:t>竞价说明</w:t>
      </w:r>
    </w:p>
    <w:p>
      <w:pPr>
        <w:pStyle w:val="54"/>
        <w:numPr>
          <w:ilvl w:val="0"/>
          <w:numId w:val="4"/>
        </w:numPr>
        <w:spacing w:line="360" w:lineRule="auto"/>
        <w:ind w:left="630" w:leftChars="100" w:hangingChars="200"/>
        <w:rPr>
          <w:rFonts w:ascii="宋体" w:hAnsi="宋体"/>
          <w:szCs w:val="21"/>
        </w:rPr>
      </w:pPr>
      <w:r>
        <w:rPr>
          <w:rFonts w:hint="eastAsia" w:ascii="宋体" w:hAnsi="宋体"/>
          <w:szCs w:val="21"/>
        </w:rPr>
        <w:t>参与竞价的供应商应承担所有与准备和参加竞价有关的费用</w:t>
      </w:r>
      <w:r>
        <w:rPr>
          <w:rFonts w:hint="eastAsia" w:ascii="宋体" w:hAnsi="宋体" w:cs="宋体"/>
          <w:szCs w:val="21"/>
        </w:rPr>
        <w:t>，不</w:t>
      </w:r>
      <w:r>
        <w:rPr>
          <w:rFonts w:hint="eastAsia" w:ascii="宋体" w:hAnsi="宋体" w:cs="宋体"/>
          <w:szCs w:val="21"/>
          <w:lang w:eastAsia="zh-TW"/>
        </w:rPr>
        <w:t>论</w:t>
      </w:r>
      <w:r>
        <w:rPr>
          <w:rFonts w:hint="eastAsia" w:ascii="宋体" w:hAnsi="宋体" w:cs="宋体"/>
          <w:szCs w:val="21"/>
        </w:rPr>
        <w:t>竞价</w:t>
      </w:r>
      <w:r>
        <w:rPr>
          <w:rFonts w:hint="eastAsia" w:ascii="宋体" w:hAnsi="宋体" w:cs="宋体"/>
          <w:szCs w:val="21"/>
          <w:lang w:eastAsia="zh-TW"/>
        </w:rPr>
        <w:t>的结果如何</w:t>
      </w:r>
      <w:r>
        <w:rPr>
          <w:rFonts w:hint="eastAsia" w:ascii="宋体" w:hAnsi="宋体" w:cs="宋体"/>
          <w:szCs w:val="21"/>
        </w:rPr>
        <w:t>，采购</w:t>
      </w:r>
      <w:r>
        <w:rPr>
          <w:rFonts w:hint="eastAsia" w:ascii="宋体" w:hAnsi="宋体" w:cs="宋体"/>
          <w:szCs w:val="21"/>
          <w:lang w:eastAsia="zh-TW"/>
        </w:rPr>
        <w:t>人</w:t>
      </w:r>
      <w:r>
        <w:rPr>
          <w:rFonts w:hint="eastAsia" w:ascii="宋体" w:hAnsi="宋体" w:cs="宋体"/>
          <w:szCs w:val="21"/>
        </w:rPr>
        <w:t>和</w:t>
      </w:r>
      <w:r>
        <w:rPr>
          <w:rFonts w:hint="eastAsia" w:ascii="宋体" w:hAnsi="宋体" w:cs="宋体"/>
          <w:szCs w:val="21"/>
          <w:lang w:eastAsia="zh-TW"/>
        </w:rPr>
        <w:t>代理机构均无义务和责任承担这些费用</w:t>
      </w:r>
      <w:r>
        <w:rPr>
          <w:rFonts w:hint="eastAsia" w:ascii="宋体" w:hAnsi="宋体" w:cs="宋体"/>
          <w:szCs w:val="21"/>
        </w:rPr>
        <w:t>。</w:t>
      </w:r>
    </w:p>
    <w:p>
      <w:pPr>
        <w:pStyle w:val="54"/>
        <w:numPr>
          <w:ilvl w:val="0"/>
          <w:numId w:val="4"/>
        </w:numPr>
        <w:spacing w:line="360" w:lineRule="auto"/>
        <w:ind w:left="630" w:leftChars="100" w:hangingChars="200"/>
        <w:rPr>
          <w:rFonts w:ascii="宋体" w:hAnsi="宋体"/>
          <w:szCs w:val="21"/>
        </w:rPr>
      </w:pPr>
      <w:r>
        <w:rPr>
          <w:rFonts w:hint="eastAsia" w:ascii="宋体" w:hAnsi="宋体"/>
          <w:szCs w:val="21"/>
        </w:rPr>
        <w:t>参与竞价的</w:t>
      </w:r>
      <w:r>
        <w:rPr>
          <w:rFonts w:hint="eastAsia" w:ascii="宋体" w:hAnsi="宋体"/>
          <w:bCs/>
          <w:szCs w:val="21"/>
        </w:rPr>
        <w:t>供应商必须按竞价附件的格式填写，不得随意增加或删除表格内容。除单价、金额或项目要求填写的内容外，不得擅自改动竞价附件内容，否则将有可能影响成交结果，不推荐为成交候选人。</w:t>
      </w:r>
    </w:p>
    <w:p>
      <w:pPr>
        <w:pStyle w:val="54"/>
        <w:numPr>
          <w:ilvl w:val="0"/>
          <w:numId w:val="4"/>
        </w:numPr>
        <w:spacing w:line="360" w:lineRule="auto"/>
        <w:ind w:left="630" w:leftChars="100" w:hangingChars="200"/>
        <w:rPr>
          <w:rFonts w:ascii="宋体" w:hAnsi="宋体"/>
          <w:szCs w:val="21"/>
        </w:rPr>
      </w:pPr>
      <w:r>
        <w:rPr>
          <w:rFonts w:hint="eastAsia" w:ascii="宋体" w:hAnsi="宋体"/>
          <w:szCs w:val="21"/>
        </w:rPr>
        <w:t>参与竞价的</w:t>
      </w:r>
      <w:r>
        <w:rPr>
          <w:rFonts w:hint="eastAsia" w:ascii="宋体" w:hAnsi="宋体"/>
          <w:szCs w:val="21"/>
          <w:lang w:val="zh-CN"/>
        </w:rPr>
        <w:t>供应商需对用户需求书的所有条款进行整体响应，用户需求书条款若有一条负偏离或不响应，</w:t>
      </w:r>
      <w:r>
        <w:rPr>
          <w:rFonts w:hint="eastAsia" w:ascii="宋体" w:hAnsi="宋体"/>
          <w:bCs/>
          <w:szCs w:val="21"/>
        </w:rPr>
        <w:t>不推荐为成交候选人</w:t>
      </w:r>
      <w:r>
        <w:rPr>
          <w:rFonts w:hint="eastAsia" w:ascii="宋体" w:hAnsi="宋体"/>
          <w:szCs w:val="21"/>
          <w:lang w:val="zh-CN"/>
        </w:rPr>
        <w:t>。</w:t>
      </w:r>
    </w:p>
    <w:p>
      <w:pPr>
        <w:pStyle w:val="54"/>
        <w:numPr>
          <w:ilvl w:val="0"/>
          <w:numId w:val="4"/>
        </w:numPr>
        <w:spacing w:line="360" w:lineRule="auto"/>
        <w:ind w:left="630" w:leftChars="100" w:hangingChars="200"/>
        <w:rPr>
          <w:rFonts w:ascii="宋体" w:hAnsi="宋体"/>
          <w:szCs w:val="21"/>
        </w:rPr>
      </w:pPr>
      <w:r>
        <w:rPr>
          <w:rFonts w:hint="eastAsia" w:ascii="宋体" w:hAnsi="宋体"/>
          <w:szCs w:val="21"/>
        </w:rPr>
        <w:t>若成交供应商自身原因无法完成本项目，则采购人有权利保留追究责任。</w:t>
      </w:r>
    </w:p>
    <w:p>
      <w:pPr>
        <w:pStyle w:val="54"/>
        <w:numPr>
          <w:ilvl w:val="0"/>
          <w:numId w:val="4"/>
        </w:numPr>
        <w:spacing w:line="360" w:lineRule="auto"/>
        <w:ind w:left="630" w:leftChars="100" w:hangingChars="200"/>
        <w:rPr>
          <w:rFonts w:ascii="宋体" w:hAnsi="宋体"/>
          <w:szCs w:val="21"/>
        </w:rPr>
      </w:pPr>
      <w:r>
        <w:rPr>
          <w:rFonts w:hint="eastAsia" w:ascii="宋体" w:hAnsi="宋体"/>
          <w:szCs w:val="21"/>
        </w:rPr>
        <w:t>成交供应商因自身原因被取消成交资格，采购人可重新启动采购或按竞价公告规定顺延推选符合要求的供应商作为成交人。</w:t>
      </w:r>
    </w:p>
    <w:p>
      <w:pPr>
        <w:pStyle w:val="54"/>
        <w:numPr>
          <w:ilvl w:val="0"/>
          <w:numId w:val="4"/>
        </w:numPr>
        <w:spacing w:line="360" w:lineRule="auto"/>
        <w:ind w:left="630" w:leftChars="100" w:hangingChars="200"/>
        <w:rPr>
          <w:rFonts w:ascii="宋体" w:hAnsi="宋体"/>
          <w:szCs w:val="21"/>
        </w:rPr>
      </w:pPr>
      <w:r>
        <w:rPr>
          <w:rFonts w:hint="eastAsia" w:ascii="宋体" w:hAnsi="宋体"/>
          <w:szCs w:val="21"/>
        </w:rPr>
        <w:t>若本项目竞价采购失败，采购人将重新采购，届时采购人有权根据项目具体情况，决定重新采购项目的采购方式。</w:t>
      </w:r>
    </w:p>
    <w:p>
      <w:pPr>
        <w:pStyle w:val="54"/>
        <w:numPr>
          <w:ilvl w:val="0"/>
          <w:numId w:val="4"/>
        </w:numPr>
        <w:spacing w:line="360" w:lineRule="auto"/>
        <w:ind w:left="630" w:leftChars="100" w:hangingChars="200"/>
        <w:rPr>
          <w:rFonts w:ascii="宋体" w:hAnsi="宋体"/>
          <w:szCs w:val="21"/>
        </w:rPr>
      </w:pPr>
      <w:r>
        <w:rPr>
          <w:rFonts w:hint="eastAsia" w:ascii="宋体" w:hAnsi="宋体"/>
          <w:szCs w:val="21"/>
        </w:rPr>
        <w:t>成交供应商若无正当理由恶意放弃成交资格，采购人有权将拒绝其参加本项目重新组织的竞价采购活动。</w:t>
      </w:r>
    </w:p>
    <w:p>
      <w:pPr>
        <w:pStyle w:val="85"/>
        <w:numPr>
          <w:ilvl w:val="0"/>
          <w:numId w:val="4"/>
        </w:numPr>
        <w:spacing w:line="360" w:lineRule="auto"/>
        <w:ind w:left="630" w:leftChars="100" w:hangingChars="200"/>
        <w:rPr>
          <w:rFonts w:ascii="宋体" w:hAnsi="宋体"/>
        </w:rPr>
      </w:pPr>
      <w:r>
        <w:rPr>
          <w:rFonts w:hint="eastAsia" w:ascii="宋体" w:hAnsi="宋体"/>
        </w:rPr>
        <w:t>如采购人或代理机构在审核或复核</w:t>
      </w:r>
      <w:r>
        <w:rPr>
          <w:rFonts w:hint="eastAsia" w:ascii="宋体" w:hAnsi="宋体"/>
          <w:szCs w:val="21"/>
        </w:rPr>
        <w:t>参与竞价的</w:t>
      </w:r>
      <w:r>
        <w:rPr>
          <w:rFonts w:hint="eastAsia" w:ascii="宋体" w:hAnsi="宋体"/>
        </w:rPr>
        <w:t>供应商所提交的竞价资料时，供应商须无条件配合；期间若发现存在弄虚作假或相关的失信记录或违反国家法律法规等相关的不良情形，采购人可取消其成交资格并保留追究责任的权力。</w:t>
      </w:r>
    </w:p>
    <w:p>
      <w:pPr>
        <w:pStyle w:val="54"/>
        <w:numPr>
          <w:ilvl w:val="0"/>
          <w:numId w:val="4"/>
        </w:numPr>
        <w:spacing w:line="360" w:lineRule="auto"/>
        <w:ind w:left="630" w:leftChars="100" w:hangingChars="200"/>
        <w:rPr>
          <w:rFonts w:ascii="宋体" w:hAnsi="宋体"/>
          <w:szCs w:val="21"/>
        </w:rPr>
      </w:pPr>
      <w:r>
        <w:rPr>
          <w:rFonts w:hint="eastAsia" w:ascii="宋体" w:hAnsi="宋体" w:cs="宋体"/>
          <w:szCs w:val="21"/>
        </w:rPr>
        <w:t>参与竞价的</w:t>
      </w:r>
      <w:r>
        <w:rPr>
          <w:rFonts w:hint="eastAsia" w:ascii="宋体" w:hAnsi="宋体" w:cs="宋体"/>
          <w:szCs w:val="21"/>
          <w:lang w:eastAsia="zh-TW"/>
        </w:rPr>
        <w:t>供应商向我司咨询的有关项目事项，一切以</w:t>
      </w:r>
      <w:r>
        <w:rPr>
          <w:rFonts w:hint="eastAsia" w:ascii="宋体" w:hAnsi="宋体" w:cs="宋体"/>
          <w:szCs w:val="21"/>
        </w:rPr>
        <w:t>竞价文件</w:t>
      </w:r>
      <w:r>
        <w:rPr>
          <w:rFonts w:hint="eastAsia" w:ascii="宋体" w:hAnsi="宋体" w:cs="宋体"/>
          <w:szCs w:val="21"/>
          <w:lang w:eastAsia="zh-TW"/>
        </w:rPr>
        <w:t>规定</w:t>
      </w:r>
      <w:r>
        <w:rPr>
          <w:rFonts w:hint="eastAsia" w:ascii="宋体" w:hAnsi="宋体" w:cs="宋体"/>
          <w:szCs w:val="21"/>
        </w:rPr>
        <w:t>和竞价公告规定以及</w:t>
      </w:r>
      <w:r>
        <w:rPr>
          <w:rFonts w:hint="eastAsia" w:ascii="宋体" w:hAnsi="宋体" w:cs="宋体"/>
          <w:szCs w:val="21"/>
          <w:lang w:eastAsia="zh-TW"/>
        </w:rPr>
        <w:t>本公司</w:t>
      </w:r>
      <w:r>
        <w:rPr>
          <w:rFonts w:hint="eastAsia" w:ascii="宋体" w:hAnsi="宋体" w:cs="宋体"/>
          <w:szCs w:val="21"/>
        </w:rPr>
        <w:t>的</w:t>
      </w:r>
      <w:r>
        <w:rPr>
          <w:rFonts w:hint="eastAsia" w:ascii="宋体" w:hAnsi="宋体" w:cs="宋体"/>
          <w:szCs w:val="21"/>
          <w:lang w:eastAsia="zh-TW"/>
        </w:rPr>
        <w:t>书面答复为准，其他一切形式均为个人意见，不代表本公司的意见</w:t>
      </w:r>
      <w:r>
        <w:rPr>
          <w:rFonts w:hint="eastAsia" w:ascii="宋体" w:hAnsi="宋体" w:cs="宋体"/>
          <w:szCs w:val="21"/>
        </w:rPr>
        <w:t>；</w:t>
      </w:r>
    </w:p>
    <w:p>
      <w:pPr>
        <w:pStyle w:val="54"/>
        <w:numPr>
          <w:ilvl w:val="0"/>
          <w:numId w:val="4"/>
        </w:numPr>
        <w:spacing w:line="360" w:lineRule="auto"/>
        <w:ind w:left="630" w:leftChars="100" w:hangingChars="200"/>
        <w:rPr>
          <w:rFonts w:ascii="宋体" w:hAnsi="宋体"/>
          <w:szCs w:val="21"/>
        </w:rPr>
      </w:pPr>
      <w:r>
        <w:rPr>
          <w:rFonts w:hint="eastAsia" w:ascii="宋体" w:hAnsi="宋体"/>
          <w:szCs w:val="21"/>
        </w:rPr>
        <w:t>参与竞价的供应商应认真阅读</w:t>
      </w:r>
      <w:r>
        <w:rPr>
          <w:rFonts w:hint="eastAsia" w:ascii="宋体" w:hAnsi="宋体" w:cs="宋体"/>
          <w:szCs w:val="21"/>
          <w:lang w:eastAsia="zh-TW"/>
        </w:rPr>
        <w:t>、并充分理解</w:t>
      </w:r>
      <w:r>
        <w:rPr>
          <w:rFonts w:hint="eastAsia" w:ascii="宋体" w:hAnsi="宋体" w:cs="宋体"/>
          <w:szCs w:val="21"/>
        </w:rPr>
        <w:t>竞价</w:t>
      </w:r>
      <w:r>
        <w:rPr>
          <w:rFonts w:hint="eastAsia" w:ascii="宋体" w:hAnsi="宋体" w:cs="宋体"/>
          <w:szCs w:val="21"/>
          <w:lang w:eastAsia="zh-TW"/>
        </w:rPr>
        <w:t>文件的全部内容（包括所有的补充、修改内容重要事项、格式、条款</w:t>
      </w:r>
      <w:r>
        <w:rPr>
          <w:rFonts w:hint="eastAsia" w:ascii="宋体" w:hAnsi="宋体" w:cs="宋体"/>
          <w:szCs w:val="21"/>
        </w:rPr>
        <w:t>、服务要求</w:t>
      </w:r>
      <w:r>
        <w:rPr>
          <w:rFonts w:hint="eastAsia" w:ascii="宋体" w:hAnsi="宋体" w:cs="宋体"/>
          <w:szCs w:val="21"/>
          <w:lang w:eastAsia="zh-TW"/>
        </w:rPr>
        <w:t>和技术规范、参数及要求等）。</w:t>
      </w:r>
      <w:r>
        <w:rPr>
          <w:rFonts w:hint="eastAsia" w:ascii="宋体" w:hAnsi="宋体" w:cs="宋体"/>
          <w:szCs w:val="21"/>
        </w:rPr>
        <w:t>供应商</w:t>
      </w:r>
      <w:r>
        <w:rPr>
          <w:rFonts w:hint="eastAsia" w:ascii="宋体" w:hAnsi="宋体" w:cs="宋体"/>
          <w:szCs w:val="21"/>
          <w:lang w:eastAsia="zh-TW"/>
        </w:rPr>
        <w:t>没有按照</w:t>
      </w:r>
      <w:r>
        <w:rPr>
          <w:rFonts w:hint="eastAsia" w:ascii="宋体" w:hAnsi="宋体" w:cs="宋体"/>
          <w:szCs w:val="21"/>
        </w:rPr>
        <w:t>竞价</w:t>
      </w:r>
      <w:r>
        <w:rPr>
          <w:rFonts w:hint="eastAsia" w:ascii="宋体" w:hAnsi="宋体" w:cs="宋体"/>
          <w:szCs w:val="21"/>
          <w:lang w:eastAsia="zh-TW"/>
        </w:rPr>
        <w:t>文件要求提交全部资料，或者</w:t>
      </w:r>
      <w:r>
        <w:rPr>
          <w:rFonts w:hint="eastAsia" w:ascii="宋体" w:hAnsi="宋体" w:cs="宋体"/>
          <w:szCs w:val="21"/>
        </w:rPr>
        <w:t>参与竞价所上传的</w:t>
      </w:r>
      <w:r>
        <w:rPr>
          <w:rFonts w:hint="eastAsia" w:ascii="宋体" w:hAnsi="宋体" w:cs="宋体"/>
          <w:szCs w:val="21"/>
          <w:lang w:eastAsia="zh-TW"/>
        </w:rPr>
        <w:t>文件没有对</w:t>
      </w:r>
      <w:r>
        <w:rPr>
          <w:rFonts w:hint="eastAsia" w:ascii="宋体" w:hAnsi="宋体" w:cs="宋体"/>
          <w:szCs w:val="21"/>
        </w:rPr>
        <w:t>竞价</w:t>
      </w:r>
      <w:r>
        <w:rPr>
          <w:rFonts w:hint="eastAsia" w:ascii="宋体" w:hAnsi="宋体" w:cs="宋体"/>
          <w:szCs w:val="21"/>
          <w:lang w:eastAsia="zh-TW"/>
        </w:rPr>
        <w:t>文件在各方面都作出实质性响应是</w:t>
      </w:r>
      <w:r>
        <w:rPr>
          <w:rFonts w:hint="eastAsia" w:ascii="宋体" w:hAnsi="宋体" w:cs="宋体"/>
          <w:szCs w:val="21"/>
        </w:rPr>
        <w:t>供应商</w:t>
      </w:r>
      <w:r>
        <w:rPr>
          <w:rFonts w:hint="eastAsia" w:ascii="宋体" w:hAnsi="宋体" w:cs="宋体"/>
          <w:szCs w:val="21"/>
          <w:lang w:eastAsia="zh-TW"/>
        </w:rPr>
        <w:t>的风险，有可能导致其</w:t>
      </w:r>
      <w:r>
        <w:rPr>
          <w:rFonts w:hint="eastAsia" w:ascii="宋体" w:hAnsi="宋体" w:cs="宋体"/>
          <w:szCs w:val="21"/>
        </w:rPr>
        <w:t>竞价</w:t>
      </w:r>
      <w:r>
        <w:rPr>
          <w:rFonts w:hint="eastAsia" w:ascii="宋体" w:hAnsi="宋体" w:cs="宋体"/>
          <w:szCs w:val="21"/>
          <w:lang w:eastAsia="zh-TW"/>
        </w:rPr>
        <w:t>被拒绝，</w:t>
      </w:r>
      <w:r>
        <w:rPr>
          <w:rFonts w:hint="eastAsia" w:ascii="宋体" w:hAnsi="宋体"/>
          <w:szCs w:val="21"/>
        </w:rPr>
        <w:t>或被认定为无效竞价。</w:t>
      </w:r>
    </w:p>
    <w:p>
      <w:pPr>
        <w:pStyle w:val="54"/>
        <w:numPr>
          <w:ilvl w:val="0"/>
          <w:numId w:val="4"/>
        </w:numPr>
        <w:spacing w:line="360" w:lineRule="auto"/>
        <w:ind w:left="630" w:leftChars="100" w:hangingChars="200"/>
        <w:rPr>
          <w:rFonts w:ascii="宋体" w:hAnsi="宋体"/>
          <w:szCs w:val="21"/>
        </w:rPr>
      </w:pPr>
      <w:r>
        <w:rPr>
          <w:rFonts w:hint="eastAsia" w:ascii="宋体" w:hAnsi="宋体"/>
          <w:kern w:val="0"/>
          <w:szCs w:val="21"/>
        </w:rPr>
        <w:t>采购人有权拒绝接受任何不合格的货物或服务，由此产生的费用及相关后果均由成交供应商自行承担。</w:t>
      </w:r>
    </w:p>
    <w:p>
      <w:pPr>
        <w:pStyle w:val="41"/>
        <w:widowControl/>
        <w:numPr>
          <w:ilvl w:val="0"/>
          <w:numId w:val="4"/>
        </w:numPr>
        <w:spacing w:line="360" w:lineRule="auto"/>
        <w:ind w:left="632" w:leftChars="100" w:hanging="422" w:hangingChars="200"/>
        <w:rPr>
          <w:rFonts w:ascii="宋体" w:hAnsi="宋体"/>
          <w:szCs w:val="21"/>
        </w:rPr>
      </w:pPr>
      <w:r>
        <w:rPr>
          <w:rFonts w:ascii="宋体" w:hAnsi="宋体"/>
          <w:b/>
          <w:szCs w:val="21"/>
          <w:shd w:val="clear" w:color="auto" w:fill="FFFFFF"/>
        </w:rPr>
        <w:t>采购人确认竞价结果后，代理机构将在</w:t>
      </w:r>
      <w:r>
        <w:rPr>
          <w:rFonts w:hint="eastAsia" w:ascii="宋体" w:hAnsi="宋体"/>
          <w:b/>
          <w:szCs w:val="21"/>
          <w:shd w:val="clear" w:color="auto" w:fill="FFFFFF"/>
        </w:rPr>
        <w:t>广东省阳春监狱</w:t>
      </w:r>
      <w:r>
        <w:rPr>
          <w:rFonts w:ascii="宋体" w:hAnsi="宋体"/>
          <w:b/>
          <w:szCs w:val="21"/>
          <w:shd w:val="clear" w:color="auto" w:fill="FFFFFF"/>
        </w:rPr>
        <w:t>线上采购一体化平台进行成交候选人公示，公示期为</w:t>
      </w:r>
      <w:r>
        <w:rPr>
          <w:rFonts w:hint="eastAsia" w:ascii="宋体" w:hAnsi="宋体"/>
          <w:b/>
          <w:szCs w:val="21"/>
          <w:shd w:val="clear" w:color="auto" w:fill="FFFFFF"/>
        </w:rPr>
        <w:t>3</w:t>
      </w:r>
      <w:r>
        <w:rPr>
          <w:rFonts w:ascii="宋体" w:hAnsi="宋体"/>
          <w:b/>
          <w:szCs w:val="21"/>
          <w:shd w:val="clear" w:color="auto" w:fill="FFFFFF"/>
        </w:rPr>
        <w:t>个工作日</w:t>
      </w:r>
      <w:r>
        <w:rPr>
          <w:rFonts w:hint="eastAsia" w:ascii="宋体" w:hAnsi="宋体"/>
          <w:b/>
          <w:szCs w:val="21"/>
          <w:shd w:val="clear" w:color="auto" w:fill="FFFFFF"/>
        </w:rPr>
        <w:t>。</w:t>
      </w:r>
    </w:p>
    <w:p>
      <w:pPr>
        <w:pStyle w:val="54"/>
        <w:numPr>
          <w:ilvl w:val="0"/>
          <w:numId w:val="4"/>
        </w:numPr>
        <w:spacing w:line="360" w:lineRule="auto"/>
        <w:ind w:left="630" w:leftChars="100" w:hangingChars="200"/>
        <w:rPr>
          <w:rFonts w:ascii="宋体" w:hAnsi="宋体"/>
          <w:szCs w:val="21"/>
        </w:rPr>
      </w:pPr>
      <w:r>
        <w:rPr>
          <w:rFonts w:hint="eastAsia" w:ascii="宋体" w:hAnsi="宋体"/>
          <w:szCs w:val="21"/>
        </w:rPr>
        <w:t>供应商认为竞价结果损害其权益的，应按照云采链平台相关指引在规定的时间内向采购人或代理机构提交书面质疑，不提交的视为无异议，</w:t>
      </w:r>
      <w:r>
        <w:rPr>
          <w:rFonts w:ascii="宋体" w:hAnsi="宋体"/>
          <w:szCs w:val="21"/>
        </w:rPr>
        <w:t>逾期提交将不予受理</w:t>
      </w:r>
      <w:r>
        <w:rPr>
          <w:rFonts w:hint="eastAsia" w:ascii="宋体" w:hAnsi="宋体"/>
          <w:szCs w:val="21"/>
        </w:rPr>
        <w:t>。</w:t>
      </w:r>
    </w:p>
    <w:p>
      <w:pPr>
        <w:pStyle w:val="54"/>
        <w:numPr>
          <w:ilvl w:val="0"/>
          <w:numId w:val="4"/>
        </w:numPr>
        <w:spacing w:line="360" w:lineRule="auto"/>
        <w:ind w:left="630" w:leftChars="100" w:hangingChars="200"/>
        <w:rPr>
          <w:rFonts w:ascii="宋体" w:hAnsi="宋体"/>
          <w:szCs w:val="21"/>
        </w:rPr>
      </w:pPr>
      <w:r>
        <w:rPr>
          <w:rFonts w:hint="eastAsia" w:ascii="宋体" w:hAnsi="宋体"/>
          <w:szCs w:val="21"/>
        </w:rPr>
        <w:t>本竞价公告和竞价文件的解释权归</w:t>
      </w:r>
      <w:r>
        <w:rPr>
          <w:rFonts w:hint="eastAsia" w:ascii="宋体" w:hAnsi="宋体" w:cs="宋体"/>
          <w:szCs w:val="21"/>
          <w:lang w:eastAsia="zh-TW"/>
        </w:rPr>
        <w:t>“</w:t>
      </w:r>
      <w:r>
        <w:rPr>
          <w:rFonts w:hint="eastAsia" w:ascii="宋体" w:hAnsi="宋体"/>
          <w:szCs w:val="21"/>
        </w:rPr>
        <w:t>云采链线上采购一体化平台</w:t>
      </w:r>
      <w:r>
        <w:rPr>
          <w:rFonts w:hint="eastAsia" w:ascii="宋体" w:hAnsi="宋体" w:cs="宋体"/>
          <w:szCs w:val="21"/>
          <w:lang w:eastAsia="zh-TW"/>
        </w:rPr>
        <w:t>”所有。</w:t>
      </w:r>
    </w:p>
    <w:p>
      <w:pPr>
        <w:pStyle w:val="54"/>
        <w:numPr>
          <w:ilvl w:val="0"/>
          <w:numId w:val="2"/>
        </w:numPr>
        <w:spacing w:line="360" w:lineRule="auto"/>
        <w:ind w:left="632" w:leftChars="100" w:hanging="422" w:hangingChars="200"/>
        <w:rPr>
          <w:rFonts w:ascii="宋体" w:hAnsi="宋体"/>
          <w:szCs w:val="21"/>
        </w:rPr>
      </w:pPr>
      <w:r>
        <w:rPr>
          <w:rFonts w:hint="eastAsia" w:ascii="宋体" w:hAnsi="宋体"/>
          <w:b/>
          <w:szCs w:val="21"/>
        </w:rPr>
        <w:t>竞价文件的澄清或修改</w:t>
      </w:r>
    </w:p>
    <w:p>
      <w:pPr>
        <w:pStyle w:val="54"/>
        <w:numPr>
          <w:ilvl w:val="1"/>
          <w:numId w:val="5"/>
        </w:numPr>
        <w:spacing w:line="360" w:lineRule="auto"/>
        <w:ind w:left="630" w:leftChars="100" w:hangingChars="200"/>
        <w:rPr>
          <w:rFonts w:ascii="宋体" w:hAnsi="宋体"/>
          <w:szCs w:val="21"/>
        </w:rPr>
      </w:pPr>
      <w:r>
        <w:rPr>
          <w:rFonts w:hint="eastAsia" w:ascii="宋体" w:hAnsi="宋体"/>
          <w:szCs w:val="21"/>
        </w:rPr>
        <w:t>采购人或者采购代理机构可以对已发出的竞价文件进行必要的澄清或者修改。澄清或者修改的内容将在云采链平台上发布澄清（更正/变更）公告。</w:t>
      </w:r>
    </w:p>
    <w:p>
      <w:pPr>
        <w:pStyle w:val="54"/>
        <w:numPr>
          <w:ilvl w:val="1"/>
          <w:numId w:val="5"/>
        </w:numPr>
        <w:spacing w:line="360" w:lineRule="auto"/>
        <w:ind w:left="630" w:leftChars="100" w:hangingChars="200"/>
        <w:rPr>
          <w:rFonts w:ascii="宋体" w:hAnsi="宋体"/>
          <w:szCs w:val="21"/>
        </w:rPr>
      </w:pPr>
      <w:r>
        <w:rPr>
          <w:rFonts w:hint="eastAsia" w:ascii="宋体" w:hAnsi="宋体"/>
          <w:szCs w:val="21"/>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宋体" w:hAnsi="宋体"/>
          <w:szCs w:val="21"/>
        </w:rPr>
        <w:t>采购人或者采购代理机构应当相应顺延报名的截止时间。</w:t>
      </w:r>
    </w:p>
    <w:p>
      <w:pPr>
        <w:pStyle w:val="54"/>
        <w:numPr>
          <w:ilvl w:val="1"/>
          <w:numId w:val="5"/>
        </w:numPr>
        <w:spacing w:line="360" w:lineRule="auto"/>
        <w:ind w:left="630" w:leftChars="100" w:hangingChars="200"/>
        <w:rPr>
          <w:rFonts w:ascii="宋体" w:hAnsi="宋体"/>
          <w:szCs w:val="21"/>
        </w:rPr>
      </w:pPr>
      <w:r>
        <w:rPr>
          <w:rFonts w:hint="eastAsia" w:ascii="宋体" w:hAnsi="宋体"/>
          <w:szCs w:val="21"/>
        </w:rPr>
        <w:t>采购人或者采购代理机构发出的澄清或修改（更正/变更）的内容为竞价文件的组成部分，并对供应商具有约束力。</w:t>
      </w:r>
    </w:p>
    <w:p>
      <w:pPr>
        <w:pStyle w:val="54"/>
        <w:numPr>
          <w:ilvl w:val="0"/>
          <w:numId w:val="2"/>
        </w:numPr>
        <w:spacing w:line="360" w:lineRule="auto"/>
        <w:ind w:left="632" w:leftChars="100" w:hanging="422" w:hangingChars="200"/>
        <w:rPr>
          <w:rFonts w:ascii="宋体" w:hAnsi="宋体"/>
          <w:b/>
          <w:szCs w:val="21"/>
        </w:rPr>
      </w:pPr>
      <w:r>
        <w:rPr>
          <w:rStyle w:val="29"/>
          <w:rFonts w:hint="eastAsia" w:ascii="宋体" w:hAnsi="宋体"/>
          <w:szCs w:val="21"/>
        </w:rPr>
        <w:t>报名要求（</w:t>
      </w:r>
      <w:r>
        <w:rPr>
          <w:rFonts w:hint="eastAsia" w:ascii="宋体" w:hAnsi="宋体"/>
          <w:szCs w:val="21"/>
        </w:rPr>
        <w:t>参与竞价的</w:t>
      </w:r>
      <w:r>
        <w:rPr>
          <w:rStyle w:val="29"/>
          <w:rFonts w:hint="eastAsia" w:ascii="宋体" w:hAnsi="宋体"/>
          <w:szCs w:val="21"/>
        </w:rPr>
        <w:t>供应商资质要求: 报名时需要提供以下</w:t>
      </w:r>
      <w:r>
        <w:rPr>
          <w:rStyle w:val="29"/>
          <w:rFonts w:hint="eastAsia" w:ascii="宋体" w:hAnsi="宋体"/>
          <w:szCs w:val="21"/>
          <w:u w:val="double"/>
        </w:rPr>
        <w:t>盖章</w:t>
      </w:r>
      <w:r>
        <w:rPr>
          <w:rStyle w:val="29"/>
          <w:rFonts w:hint="eastAsia" w:ascii="宋体" w:hAnsi="宋体"/>
          <w:szCs w:val="21"/>
        </w:rPr>
        <w:t>资料，</w:t>
      </w:r>
      <w:r>
        <w:rPr>
          <w:rFonts w:hint="eastAsia" w:ascii="宋体" w:hAnsi="宋体"/>
          <w:szCs w:val="21"/>
        </w:rPr>
        <w:t>并对上传的报名文件资料承担责任</w:t>
      </w:r>
      <w:r>
        <w:rPr>
          <w:rStyle w:val="29"/>
          <w:rFonts w:hint="eastAsia" w:ascii="宋体" w:hAnsi="宋体"/>
          <w:szCs w:val="21"/>
        </w:rPr>
        <w:t>）</w:t>
      </w:r>
    </w:p>
    <w:p>
      <w:pPr>
        <w:pStyle w:val="54"/>
        <w:widowControl/>
        <w:numPr>
          <w:ilvl w:val="0"/>
          <w:numId w:val="6"/>
        </w:numPr>
        <w:spacing w:line="360" w:lineRule="auto"/>
        <w:ind w:firstLineChars="0"/>
        <w:jc w:val="left"/>
        <w:rPr>
          <w:rFonts w:ascii="宋体" w:hAnsi="宋体" w:cs="宋体"/>
          <w:kern w:val="0"/>
          <w:szCs w:val="21"/>
        </w:rPr>
      </w:pPr>
      <w:r>
        <w:rPr>
          <w:rFonts w:hint="eastAsia" w:ascii="宋体" w:hAnsi="宋体" w:cs="宋体"/>
          <w:kern w:val="0"/>
          <w:szCs w:val="20"/>
        </w:rPr>
        <w:t>具有独立承担民事责任的在中华人民共和国境内注册的法人或其他组织或自然人（提供法人或其他组织的营业执照等证明材料，自然人提供身份证、对公账户等证明材料）。</w:t>
      </w:r>
    </w:p>
    <w:p>
      <w:pPr>
        <w:pStyle w:val="54"/>
        <w:widowControl/>
        <w:numPr>
          <w:ilvl w:val="0"/>
          <w:numId w:val="6"/>
        </w:numPr>
        <w:spacing w:line="360" w:lineRule="auto"/>
        <w:ind w:left="630" w:leftChars="100" w:hangingChars="200"/>
        <w:rPr>
          <w:rFonts w:ascii="宋体" w:hAnsi="宋体" w:cs="宋体"/>
          <w:kern w:val="0"/>
          <w:szCs w:val="21"/>
        </w:rPr>
      </w:pPr>
      <w:r>
        <w:rPr>
          <w:rFonts w:hint="eastAsia" w:ascii="宋体" w:hAnsi="宋体" w:cs="宋体"/>
          <w:color w:val="000000"/>
          <w:szCs w:val="21"/>
        </w:rPr>
        <w:t>符合《国有企业采购管理办法》第十一条规定</w:t>
      </w:r>
      <w:r>
        <w:rPr>
          <w:rFonts w:hint="eastAsia" w:ascii="宋体" w:hAnsi="宋体"/>
          <w:kern w:val="0"/>
        </w:rPr>
        <w:t>；本项目不接受联合体供应商， 不允许转包、分包。供应商须提供供应商资格声明函，</w:t>
      </w:r>
      <w:r>
        <w:rPr>
          <w:rFonts w:hint="eastAsia" w:ascii="宋体" w:hAnsi="宋体"/>
          <w:b/>
          <w:bCs/>
          <w:kern w:val="0"/>
        </w:rPr>
        <w:t>格式详见附件。</w:t>
      </w:r>
    </w:p>
    <w:p>
      <w:pPr>
        <w:pStyle w:val="54"/>
        <w:widowControl/>
        <w:numPr>
          <w:ilvl w:val="0"/>
          <w:numId w:val="6"/>
        </w:numPr>
        <w:spacing w:line="360" w:lineRule="auto"/>
        <w:ind w:left="630" w:leftChars="100" w:hangingChars="200"/>
        <w:rPr>
          <w:rFonts w:ascii="宋体" w:hAnsi="宋体" w:cs="宋体"/>
          <w:kern w:val="0"/>
          <w:szCs w:val="21"/>
        </w:rPr>
      </w:pPr>
      <w:r>
        <w:rPr>
          <w:rFonts w:hint="eastAsia" w:ascii="宋体" w:hAnsi="宋体" w:cs="宋体"/>
          <w:kern w:val="0"/>
          <w:szCs w:val="21"/>
        </w:rPr>
        <w:t>供应商完全响应本项目用户需求的条款、内容及要求的，提供用户需求书响应声明函即可</w:t>
      </w:r>
      <w:r>
        <w:rPr>
          <w:rFonts w:hint="eastAsia" w:ascii="宋体" w:hAnsi="宋体" w:cs="宋体"/>
          <w:b/>
          <w:kern w:val="0"/>
          <w:szCs w:val="21"/>
        </w:rPr>
        <w:t>，格式详见附件</w:t>
      </w:r>
      <w:r>
        <w:rPr>
          <w:rFonts w:hint="eastAsia" w:ascii="宋体" w:hAnsi="宋体" w:cs="宋体"/>
          <w:kern w:val="0"/>
          <w:szCs w:val="21"/>
        </w:rPr>
        <w:t>。</w:t>
      </w:r>
    </w:p>
    <w:p>
      <w:pPr>
        <w:pStyle w:val="54"/>
        <w:widowControl/>
        <w:numPr>
          <w:ilvl w:val="0"/>
          <w:numId w:val="6"/>
        </w:numPr>
        <w:spacing w:line="360" w:lineRule="auto"/>
        <w:ind w:left="630" w:leftChars="100" w:hangingChars="200"/>
        <w:rPr>
          <w:rFonts w:ascii="宋体" w:hAnsi="宋体" w:cs="宋体"/>
          <w:kern w:val="0"/>
          <w:szCs w:val="20"/>
        </w:rPr>
      </w:pPr>
      <w:r>
        <w:rPr>
          <w:rFonts w:hint="eastAsia" w:ascii="宋体" w:hAnsi="宋体" w:cs="宋体"/>
          <w:kern w:val="0"/>
          <w:szCs w:val="20"/>
        </w:rPr>
        <w:t>经办人如是法定代表人，需提供法定代表人证明书；经办人如是供应商授权代表，需提供法定代表人授权委托书和法定代表人证明书</w:t>
      </w:r>
      <w:r>
        <w:rPr>
          <w:rFonts w:hint="eastAsia" w:ascii="宋体" w:hAnsi="宋体" w:cs="宋体"/>
          <w:b/>
          <w:kern w:val="0"/>
          <w:szCs w:val="21"/>
        </w:rPr>
        <w:t>，格式详见附件</w:t>
      </w:r>
      <w:r>
        <w:rPr>
          <w:rFonts w:hint="eastAsia" w:ascii="宋体" w:hAnsi="宋体" w:cs="宋体"/>
          <w:kern w:val="0"/>
          <w:szCs w:val="20"/>
        </w:rPr>
        <w:t>。</w:t>
      </w:r>
    </w:p>
    <w:p>
      <w:pPr>
        <w:pStyle w:val="54"/>
        <w:widowControl/>
        <w:numPr>
          <w:ilvl w:val="0"/>
          <w:numId w:val="6"/>
        </w:numPr>
        <w:spacing w:line="360" w:lineRule="auto"/>
        <w:ind w:left="630" w:leftChars="100" w:hangingChars="200"/>
        <w:rPr>
          <w:rFonts w:ascii="宋体" w:hAnsi="宋体" w:cs="宋体"/>
          <w:kern w:val="0"/>
          <w:szCs w:val="20"/>
        </w:rPr>
      </w:pPr>
      <w:r>
        <w:rPr>
          <w:rFonts w:hint="eastAsia" w:ascii="宋体" w:hAnsi="宋体" w:cs="宋体"/>
          <w:kern w:val="0"/>
          <w:szCs w:val="20"/>
        </w:rPr>
        <w:t>供应商须具备有效的市政公用工程施工总承包三级（或以上）资质；</w:t>
      </w:r>
    </w:p>
    <w:p>
      <w:pPr>
        <w:pStyle w:val="54"/>
        <w:widowControl/>
        <w:numPr>
          <w:ilvl w:val="0"/>
          <w:numId w:val="6"/>
        </w:numPr>
        <w:spacing w:line="360" w:lineRule="auto"/>
        <w:ind w:left="630" w:leftChars="100" w:hangingChars="200"/>
        <w:rPr>
          <w:rFonts w:ascii="宋体" w:hAnsi="宋体" w:cs="宋体"/>
          <w:kern w:val="0"/>
          <w:szCs w:val="20"/>
        </w:rPr>
      </w:pPr>
      <w:r>
        <w:rPr>
          <w:rFonts w:hint="eastAsia" w:ascii="宋体" w:hAnsi="宋体" w:cs="宋体"/>
          <w:kern w:val="0"/>
          <w:szCs w:val="20"/>
        </w:rPr>
        <w:t>供应商须具有有效的建设行政主管部门颁发有效的《安全生产许可证》；</w:t>
      </w:r>
    </w:p>
    <w:p>
      <w:pPr>
        <w:pStyle w:val="54"/>
        <w:widowControl/>
        <w:numPr>
          <w:ilvl w:val="0"/>
          <w:numId w:val="6"/>
        </w:numPr>
        <w:spacing w:line="360" w:lineRule="auto"/>
        <w:ind w:left="630" w:leftChars="100" w:hangingChars="200"/>
        <w:rPr>
          <w:rFonts w:ascii="宋体" w:hAnsi="宋体" w:cs="宋体"/>
          <w:b/>
          <w:bCs/>
          <w:kern w:val="0"/>
          <w:szCs w:val="20"/>
        </w:rPr>
      </w:pPr>
      <w:r>
        <w:rPr>
          <w:rFonts w:hint="eastAsia" w:ascii="宋体" w:hAnsi="宋体" w:cs="宋体"/>
          <w:kern w:val="0"/>
          <w:szCs w:val="20"/>
        </w:rPr>
        <w:t>供应商须详细地阅读、完全明白并承诺遵守《广东省广裕集团阳春实业有限公司供应商管理规则（试行）》（提供广东省广裕集团阳春实业有限公司供应商管理规则（试行）承诺函</w:t>
      </w:r>
      <w:r>
        <w:rPr>
          <w:rFonts w:hint="eastAsia" w:ascii="宋体" w:hAnsi="宋体" w:cs="宋体"/>
          <w:b/>
          <w:bCs/>
          <w:kern w:val="0"/>
          <w:szCs w:val="20"/>
        </w:rPr>
        <w:t>，格式详见附件。</w:t>
      </w:r>
    </w:p>
    <w:p>
      <w:pPr>
        <w:pStyle w:val="54"/>
        <w:numPr>
          <w:ilvl w:val="0"/>
          <w:numId w:val="2"/>
        </w:numPr>
        <w:spacing w:line="360" w:lineRule="auto"/>
        <w:ind w:left="632" w:leftChars="100" w:hanging="422" w:hangingChars="200"/>
        <w:rPr>
          <w:rStyle w:val="29"/>
          <w:rFonts w:ascii="宋体" w:hAnsi="宋体"/>
          <w:bCs w:val="0"/>
          <w:szCs w:val="21"/>
        </w:rPr>
      </w:pPr>
      <w:r>
        <w:rPr>
          <w:rStyle w:val="29"/>
          <w:rFonts w:hint="eastAsia" w:ascii="宋体" w:hAnsi="宋体"/>
          <w:szCs w:val="21"/>
        </w:rPr>
        <w:t>报价要求（报价时需要提供以下</w:t>
      </w:r>
      <w:r>
        <w:rPr>
          <w:rStyle w:val="29"/>
          <w:rFonts w:hint="eastAsia" w:ascii="宋体" w:hAnsi="宋体"/>
          <w:szCs w:val="21"/>
          <w:u w:val="double"/>
        </w:rPr>
        <w:t>盖章</w:t>
      </w:r>
      <w:r>
        <w:rPr>
          <w:rStyle w:val="29"/>
          <w:rFonts w:hint="eastAsia" w:ascii="宋体" w:hAnsi="宋体"/>
          <w:szCs w:val="21"/>
        </w:rPr>
        <w:t>资料，</w:t>
      </w:r>
      <w:r>
        <w:rPr>
          <w:rFonts w:hint="eastAsia" w:ascii="宋体" w:hAnsi="宋体"/>
          <w:szCs w:val="21"/>
        </w:rPr>
        <w:t>并对上传的竞价文件资料承担责任</w:t>
      </w:r>
      <w:r>
        <w:rPr>
          <w:rStyle w:val="29"/>
          <w:rFonts w:hint="eastAsia" w:ascii="宋体" w:hAnsi="宋体"/>
          <w:szCs w:val="21"/>
        </w:rPr>
        <w:t>）</w:t>
      </w:r>
    </w:p>
    <w:p>
      <w:pPr>
        <w:pStyle w:val="54"/>
        <w:numPr>
          <w:ilvl w:val="0"/>
          <w:numId w:val="7"/>
        </w:numPr>
        <w:spacing w:line="360" w:lineRule="auto"/>
        <w:ind w:left="630" w:leftChars="100" w:hangingChars="200"/>
        <w:rPr>
          <w:rFonts w:ascii="宋体" w:hAnsi="宋体"/>
          <w:szCs w:val="21"/>
        </w:rPr>
      </w:pPr>
      <w:r>
        <w:rPr>
          <w:rFonts w:hint="eastAsia" w:ascii="宋体" w:hAnsi="宋体"/>
          <w:szCs w:val="21"/>
        </w:rPr>
        <w:t>通过报名供应商应根据本公告要求，在规定的竞价时间内对采购项目进行报价，同时按本公告要求完整</w:t>
      </w:r>
      <w:r>
        <w:rPr>
          <w:rFonts w:hint="eastAsia" w:ascii="宋体" w:hAnsi="宋体" w:cs="宋体"/>
          <w:szCs w:val="21"/>
          <w:lang w:eastAsia="zh-TW"/>
        </w:rPr>
        <w:t>、真实、准确地</w:t>
      </w:r>
      <w:r>
        <w:rPr>
          <w:rFonts w:hint="eastAsia" w:ascii="宋体" w:hAnsi="宋体" w:cs="宋体"/>
          <w:szCs w:val="21"/>
        </w:rPr>
        <w:t>填写并</w:t>
      </w:r>
      <w:r>
        <w:rPr>
          <w:rFonts w:hint="eastAsia" w:ascii="宋体" w:hAnsi="宋体"/>
          <w:szCs w:val="21"/>
        </w:rPr>
        <w:t>上传相应报价附件</w:t>
      </w:r>
      <w:r>
        <w:rPr>
          <w:rFonts w:hint="eastAsia" w:ascii="宋体" w:hAnsi="宋体"/>
          <w:b/>
          <w:bCs/>
          <w:szCs w:val="21"/>
        </w:rPr>
        <w:t>（</w:t>
      </w:r>
      <w:r>
        <w:rPr>
          <w:rFonts w:hint="eastAsia" w:ascii="宋体" w:hAnsi="宋体" w:cs="Segoe UI"/>
          <w:b/>
          <w:bCs/>
          <w:szCs w:val="21"/>
          <w:shd w:val="clear" w:color="auto" w:fill="FFFFFF"/>
        </w:rPr>
        <w:t>报价表（加盖公章），工程量清单</w:t>
      </w:r>
      <w:r>
        <w:rPr>
          <w:rFonts w:hint="eastAsia" w:ascii="宋体" w:hAnsi="宋体"/>
          <w:b/>
          <w:bCs/>
          <w:szCs w:val="21"/>
        </w:rPr>
        <w:t>）；</w:t>
      </w:r>
    </w:p>
    <w:p>
      <w:pPr>
        <w:pStyle w:val="54"/>
        <w:numPr>
          <w:ilvl w:val="0"/>
          <w:numId w:val="7"/>
        </w:numPr>
        <w:spacing w:line="360" w:lineRule="auto"/>
        <w:ind w:left="632" w:leftChars="100" w:hanging="422" w:hangingChars="200"/>
        <w:rPr>
          <w:rFonts w:ascii="宋体" w:hAnsi="宋体"/>
          <w:b/>
          <w:szCs w:val="21"/>
          <w:u w:val="double"/>
        </w:rPr>
      </w:pPr>
      <w:r>
        <w:rPr>
          <w:rFonts w:hint="eastAsia" w:ascii="宋体" w:hAnsi="宋体"/>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r>
        <w:rPr>
          <w:rFonts w:hint="eastAsia" w:ascii="宋体" w:hAnsi="宋体"/>
          <w:b/>
          <w:szCs w:val="21"/>
          <w:u w:val="double"/>
          <w:shd w:val="clear" w:color="auto" w:fill="FFFFFF"/>
        </w:rPr>
        <w:t>。</w:t>
      </w:r>
    </w:p>
    <w:p>
      <w:pPr>
        <w:pStyle w:val="54"/>
        <w:numPr>
          <w:ilvl w:val="0"/>
          <w:numId w:val="2"/>
        </w:numPr>
        <w:spacing w:line="360" w:lineRule="auto"/>
        <w:ind w:left="632" w:leftChars="100" w:hanging="422" w:hangingChars="200"/>
        <w:rPr>
          <w:rStyle w:val="29"/>
          <w:rFonts w:ascii="宋体" w:hAnsi="宋体"/>
          <w:bCs w:val="0"/>
          <w:szCs w:val="21"/>
        </w:rPr>
      </w:pPr>
      <w:r>
        <w:rPr>
          <w:rStyle w:val="29"/>
          <w:rFonts w:hint="eastAsia" w:ascii="宋体" w:hAnsi="宋体"/>
          <w:szCs w:val="21"/>
        </w:rPr>
        <w:t>确定成交候选人</w:t>
      </w:r>
    </w:p>
    <w:p>
      <w:pPr>
        <w:pStyle w:val="54"/>
        <w:numPr>
          <w:ilvl w:val="0"/>
          <w:numId w:val="8"/>
        </w:numPr>
        <w:spacing w:line="360" w:lineRule="auto"/>
        <w:ind w:left="630" w:leftChars="100" w:hangingChars="200"/>
        <w:rPr>
          <w:rFonts w:ascii="宋体" w:hAnsi="宋体"/>
          <w:szCs w:val="21"/>
        </w:rPr>
      </w:pPr>
      <w:r>
        <w:rPr>
          <w:rFonts w:hint="eastAsia" w:ascii="宋体" w:hAnsi="宋体"/>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pPr>
        <w:pStyle w:val="54"/>
        <w:numPr>
          <w:ilvl w:val="0"/>
          <w:numId w:val="8"/>
        </w:numPr>
        <w:spacing w:line="360" w:lineRule="auto"/>
        <w:ind w:left="630" w:leftChars="100" w:hangingChars="200"/>
        <w:rPr>
          <w:rFonts w:ascii="宋体" w:hAnsi="宋体"/>
          <w:szCs w:val="21"/>
        </w:rPr>
      </w:pPr>
      <w:r>
        <w:rPr>
          <w:rFonts w:hint="eastAsia" w:ascii="宋体" w:hAnsi="宋体"/>
          <w:szCs w:val="21"/>
        </w:rPr>
        <w:t>若报价结束出现最低价供应商存在放弃或串通竞价等视为无效情况，采购人可按竞价公告规定顺延推选符合要求的供应商作为成交人或重新启动采购。</w:t>
      </w:r>
    </w:p>
    <w:p>
      <w:pPr>
        <w:pStyle w:val="54"/>
        <w:numPr>
          <w:ilvl w:val="0"/>
          <w:numId w:val="2"/>
        </w:numPr>
        <w:spacing w:line="360" w:lineRule="auto"/>
        <w:ind w:left="632" w:leftChars="100" w:hanging="422" w:hangingChars="200"/>
        <w:rPr>
          <w:rFonts w:ascii="宋体" w:hAnsi="宋体"/>
          <w:b/>
          <w:szCs w:val="21"/>
        </w:rPr>
      </w:pPr>
      <w:r>
        <w:rPr>
          <w:rFonts w:hint="eastAsia" w:ascii="宋体" w:hAnsi="宋体"/>
          <w:b/>
          <w:szCs w:val="21"/>
        </w:rPr>
        <w:t>无效报价</w:t>
      </w:r>
    </w:p>
    <w:p>
      <w:pPr>
        <w:pStyle w:val="54"/>
        <w:numPr>
          <w:ilvl w:val="0"/>
          <w:numId w:val="9"/>
        </w:numPr>
        <w:spacing w:line="360" w:lineRule="auto"/>
        <w:ind w:left="630" w:leftChars="100" w:hangingChars="200"/>
        <w:rPr>
          <w:rFonts w:ascii="宋体" w:hAnsi="宋体"/>
          <w:szCs w:val="21"/>
        </w:rPr>
      </w:pPr>
      <w:r>
        <w:rPr>
          <w:rFonts w:hint="eastAsia" w:ascii="宋体" w:hAnsi="宋体"/>
          <w:szCs w:val="21"/>
        </w:rPr>
        <w:t>参与竞价的供应商报价超过最高限价或低于最低限价或超过项目对应产品单项最高限价的视为无效报价；</w:t>
      </w:r>
    </w:p>
    <w:p>
      <w:pPr>
        <w:pStyle w:val="54"/>
        <w:numPr>
          <w:ilvl w:val="0"/>
          <w:numId w:val="9"/>
        </w:numPr>
        <w:spacing w:line="360" w:lineRule="auto"/>
        <w:ind w:left="630" w:leftChars="100" w:hangingChars="200"/>
        <w:rPr>
          <w:rFonts w:ascii="宋体" w:hAnsi="宋体"/>
          <w:szCs w:val="21"/>
        </w:rPr>
      </w:pPr>
      <w:r>
        <w:rPr>
          <w:rFonts w:hint="eastAsia" w:ascii="宋体" w:hAnsi="宋体"/>
          <w:szCs w:val="21"/>
        </w:rPr>
        <w:t>参与竞价的</w:t>
      </w:r>
      <w:r>
        <w:rPr>
          <w:rFonts w:hint="eastAsia" w:ascii="宋体" w:hAnsi="宋体"/>
          <w:bCs/>
          <w:szCs w:val="21"/>
        </w:rPr>
        <w:t>供应商须提供本项目要求的资质文件，如果不按公告规定或竞价文件要求等相关规定提供符合要求的资质文件，将被视为无效报价；</w:t>
      </w:r>
    </w:p>
    <w:p>
      <w:pPr>
        <w:pStyle w:val="54"/>
        <w:numPr>
          <w:ilvl w:val="0"/>
          <w:numId w:val="9"/>
        </w:numPr>
        <w:spacing w:line="360" w:lineRule="auto"/>
        <w:ind w:left="630" w:leftChars="100" w:hangingChars="200"/>
        <w:rPr>
          <w:rFonts w:ascii="宋体" w:hAnsi="宋体"/>
          <w:szCs w:val="21"/>
        </w:rPr>
      </w:pPr>
      <w:r>
        <w:rPr>
          <w:rFonts w:hint="eastAsia" w:ascii="宋体" w:hAnsi="宋体"/>
          <w:szCs w:val="21"/>
        </w:rPr>
        <w:t>参与竞价的</w:t>
      </w:r>
      <w:r>
        <w:rPr>
          <w:rFonts w:hint="eastAsia" w:ascii="宋体" w:hAnsi="宋体"/>
          <w:bCs/>
          <w:szCs w:val="21"/>
        </w:rPr>
        <w:t>供应商须对本项目采购内容进行整体报价，任何只对其中一部分内容进行的报价都被视为无效报价；</w:t>
      </w:r>
    </w:p>
    <w:p>
      <w:pPr>
        <w:pStyle w:val="54"/>
        <w:numPr>
          <w:ilvl w:val="0"/>
          <w:numId w:val="9"/>
        </w:numPr>
        <w:spacing w:line="360" w:lineRule="auto"/>
        <w:ind w:left="630" w:leftChars="100" w:hangingChars="200"/>
        <w:rPr>
          <w:rFonts w:ascii="宋体" w:hAnsi="宋体"/>
          <w:szCs w:val="21"/>
        </w:rPr>
      </w:pPr>
      <w:r>
        <w:rPr>
          <w:rFonts w:ascii="宋体" w:hAnsi="宋体"/>
          <w:szCs w:val="21"/>
          <w:u w:val="double"/>
        </w:rPr>
        <w:t>报价表</w:t>
      </w:r>
      <w:r>
        <w:rPr>
          <w:rFonts w:hint="eastAsia" w:ascii="宋体" w:hAnsi="宋体"/>
          <w:szCs w:val="21"/>
          <w:u w:val="double"/>
        </w:rPr>
        <w:t>以及有报价供应商落款的报价文件</w:t>
      </w:r>
      <w:r>
        <w:rPr>
          <w:rFonts w:ascii="宋体" w:hAnsi="宋体"/>
          <w:szCs w:val="21"/>
          <w:u w:val="double"/>
        </w:rPr>
        <w:t>必须加盖</w:t>
      </w:r>
      <w:r>
        <w:rPr>
          <w:rFonts w:hint="eastAsia" w:ascii="宋体" w:hAnsi="宋体"/>
          <w:szCs w:val="21"/>
          <w:u w:val="double"/>
        </w:rPr>
        <w:t>报价供应商</w:t>
      </w:r>
      <w:r>
        <w:rPr>
          <w:rFonts w:ascii="宋体" w:hAnsi="宋体"/>
          <w:szCs w:val="21"/>
          <w:u w:val="double"/>
        </w:rPr>
        <w:t>公章，否则视为无效报价</w:t>
      </w:r>
      <w:r>
        <w:rPr>
          <w:rFonts w:hint="eastAsia" w:ascii="宋体" w:hAnsi="宋体"/>
          <w:szCs w:val="21"/>
        </w:rPr>
        <w:t>；</w:t>
      </w:r>
    </w:p>
    <w:p>
      <w:pPr>
        <w:pStyle w:val="23"/>
        <w:numPr>
          <w:ilvl w:val="0"/>
          <w:numId w:val="9"/>
        </w:numPr>
        <w:shd w:val="clear" w:color="auto" w:fill="FFFFFF"/>
        <w:spacing w:before="0" w:beforeAutospacing="0" w:after="0" w:afterAutospacing="0" w:line="360" w:lineRule="auto"/>
        <w:ind w:left="630" w:leftChars="100" w:hangingChars="200"/>
        <w:jc w:val="both"/>
        <w:rPr>
          <w:sz w:val="21"/>
          <w:szCs w:val="21"/>
        </w:rPr>
      </w:pPr>
      <w:r>
        <w:rPr>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sz w:val="21"/>
          <w:szCs w:val="21"/>
        </w:rPr>
        <w:t>，</w:t>
      </w:r>
      <w:r>
        <w:rPr>
          <w:rFonts w:cs="Segoe UI"/>
          <w:b/>
          <w:bCs/>
          <w:sz w:val="21"/>
          <w:szCs w:val="21"/>
          <w:shd w:val="clear" w:color="auto" w:fill="FFFFFF"/>
        </w:rPr>
        <w:t>不接受总价优惠折扣形式的报价，供应商应将对项目的优惠直接在清单报价中体现出来。</w:t>
      </w:r>
      <w:r>
        <w:rPr>
          <w:rFonts w:hint="eastAsia"/>
          <w:sz w:val="21"/>
          <w:szCs w:val="21"/>
        </w:rPr>
        <w:t>如果供应商不接受对其错误的更正，其报价将被视为无效报价；</w:t>
      </w:r>
    </w:p>
    <w:p>
      <w:pPr>
        <w:pStyle w:val="23"/>
        <w:numPr>
          <w:ilvl w:val="0"/>
          <w:numId w:val="9"/>
        </w:numPr>
        <w:shd w:val="clear" w:color="auto" w:fill="FFFFFF"/>
        <w:spacing w:before="0" w:beforeAutospacing="0" w:after="0" w:afterAutospacing="0" w:line="360" w:lineRule="auto"/>
        <w:ind w:left="632" w:leftChars="100" w:hanging="422" w:hangingChars="200"/>
        <w:jc w:val="both"/>
        <w:rPr>
          <w:b/>
          <w:bCs/>
          <w:sz w:val="21"/>
          <w:szCs w:val="21"/>
          <w:u w:val="double"/>
        </w:rPr>
      </w:pPr>
      <w:r>
        <w:rPr>
          <w:rFonts w:hint="eastAsia"/>
          <w:b/>
          <w:bCs/>
          <w:sz w:val="21"/>
          <w:szCs w:val="21"/>
          <w:u w:val="double"/>
        </w:rPr>
        <w:t>按有关法律、法规、规章属于报价无效的。</w:t>
      </w:r>
    </w:p>
    <w:p>
      <w:pPr>
        <w:pStyle w:val="23"/>
        <w:numPr>
          <w:ilvl w:val="0"/>
          <w:numId w:val="9"/>
        </w:numPr>
        <w:shd w:val="clear" w:color="auto" w:fill="FFFFFF"/>
        <w:spacing w:before="0" w:beforeAutospacing="0" w:after="0" w:afterAutospacing="0" w:line="360" w:lineRule="auto"/>
        <w:ind w:left="632" w:leftChars="100" w:hanging="422" w:hangingChars="200"/>
        <w:jc w:val="both"/>
        <w:rPr>
          <w:sz w:val="21"/>
          <w:szCs w:val="21"/>
        </w:rPr>
      </w:pPr>
      <w:r>
        <w:rPr>
          <w:rFonts w:hint="eastAsia"/>
          <w:b/>
          <w:sz w:val="21"/>
          <w:szCs w:val="21"/>
        </w:rPr>
        <w:t>有下列情形之一的，视为串通竞价，其报价无效：</w:t>
      </w:r>
    </w:p>
    <w:p>
      <w:pPr>
        <w:widowControl/>
        <w:numPr>
          <w:ilvl w:val="2"/>
          <w:numId w:val="10"/>
        </w:numPr>
        <w:tabs>
          <w:tab w:val="left" w:pos="2100"/>
        </w:tabs>
        <w:spacing w:line="360" w:lineRule="auto"/>
        <w:ind w:left="630" w:leftChars="100" w:hanging="420" w:hangingChars="200"/>
        <w:rPr>
          <w:rFonts w:ascii="宋体" w:hAnsi="宋体"/>
          <w:szCs w:val="21"/>
        </w:rPr>
      </w:pPr>
      <w:r>
        <w:rPr>
          <w:rFonts w:hint="eastAsia" w:ascii="宋体" w:hAnsi="宋体"/>
          <w:szCs w:val="21"/>
        </w:rPr>
        <w:t>存在单位负责人为同一人或存在控股、管理关系的不同单位参与同一竞价项目；</w:t>
      </w:r>
    </w:p>
    <w:p>
      <w:pPr>
        <w:pStyle w:val="54"/>
        <w:widowControl/>
        <w:numPr>
          <w:ilvl w:val="2"/>
          <w:numId w:val="10"/>
        </w:numPr>
        <w:spacing w:line="360" w:lineRule="auto"/>
        <w:ind w:left="630" w:leftChars="100" w:hanging="420" w:hangingChars="200"/>
        <w:rPr>
          <w:rFonts w:ascii="宋体" w:hAnsi="宋体"/>
          <w:szCs w:val="21"/>
        </w:rPr>
      </w:pPr>
      <w:r>
        <w:rPr>
          <w:rFonts w:hint="eastAsia" w:ascii="宋体" w:hAnsi="宋体"/>
          <w:szCs w:val="21"/>
        </w:rPr>
        <w:t>不同供应商的响应文件由同一单位或者个人编制；</w:t>
      </w:r>
    </w:p>
    <w:p>
      <w:pPr>
        <w:pStyle w:val="54"/>
        <w:widowControl/>
        <w:numPr>
          <w:ilvl w:val="2"/>
          <w:numId w:val="10"/>
        </w:numPr>
        <w:spacing w:line="360" w:lineRule="auto"/>
        <w:ind w:left="630" w:leftChars="100" w:hanging="420" w:hangingChars="200"/>
        <w:rPr>
          <w:rFonts w:ascii="宋体" w:hAnsi="宋体"/>
          <w:szCs w:val="21"/>
        </w:rPr>
      </w:pPr>
      <w:r>
        <w:rPr>
          <w:rFonts w:hint="eastAsia" w:ascii="宋体" w:hAnsi="宋体"/>
          <w:szCs w:val="21"/>
        </w:rPr>
        <w:t>不同供应商委托同一单位或者个人办理竞价事宜；</w:t>
      </w:r>
    </w:p>
    <w:p>
      <w:pPr>
        <w:pStyle w:val="54"/>
        <w:widowControl/>
        <w:numPr>
          <w:ilvl w:val="2"/>
          <w:numId w:val="10"/>
        </w:numPr>
        <w:spacing w:line="360" w:lineRule="auto"/>
        <w:ind w:left="630" w:leftChars="100" w:hanging="420" w:hangingChars="200"/>
        <w:rPr>
          <w:rFonts w:ascii="宋体" w:hAnsi="宋体"/>
          <w:szCs w:val="21"/>
        </w:rPr>
      </w:pPr>
      <w:r>
        <w:rPr>
          <w:rFonts w:hint="eastAsia" w:ascii="宋体" w:hAnsi="宋体"/>
          <w:szCs w:val="21"/>
        </w:rPr>
        <w:t>不同供应商使用同一IP地址参与竞价；</w:t>
      </w:r>
    </w:p>
    <w:p>
      <w:pPr>
        <w:pStyle w:val="54"/>
        <w:widowControl/>
        <w:numPr>
          <w:ilvl w:val="2"/>
          <w:numId w:val="10"/>
        </w:numPr>
        <w:spacing w:line="360" w:lineRule="auto"/>
        <w:ind w:left="630" w:leftChars="100" w:hanging="420" w:hangingChars="200"/>
        <w:rPr>
          <w:rFonts w:ascii="宋体" w:hAnsi="宋体"/>
          <w:szCs w:val="21"/>
        </w:rPr>
      </w:pPr>
      <w:r>
        <w:rPr>
          <w:rFonts w:hint="eastAsia" w:ascii="宋体" w:hAnsi="宋体"/>
          <w:szCs w:val="21"/>
        </w:rPr>
        <w:t>不同供应商的响应文件载明的项目管理成员或者联系人员为同一人；</w:t>
      </w:r>
    </w:p>
    <w:p>
      <w:pPr>
        <w:pStyle w:val="54"/>
        <w:widowControl/>
        <w:numPr>
          <w:ilvl w:val="2"/>
          <w:numId w:val="10"/>
        </w:numPr>
        <w:spacing w:line="360" w:lineRule="auto"/>
        <w:ind w:left="630" w:leftChars="100" w:hanging="420" w:hangingChars="200"/>
        <w:rPr>
          <w:rFonts w:ascii="宋体" w:hAnsi="宋体"/>
          <w:szCs w:val="21"/>
        </w:rPr>
      </w:pPr>
      <w:r>
        <w:rPr>
          <w:rFonts w:hint="eastAsia" w:ascii="宋体" w:hAnsi="宋体"/>
          <w:szCs w:val="21"/>
        </w:rPr>
        <w:t>不同供应商的响应文件异常一致或者报价呈规律性差异；</w:t>
      </w:r>
    </w:p>
    <w:p>
      <w:pPr>
        <w:pStyle w:val="54"/>
        <w:widowControl/>
        <w:numPr>
          <w:ilvl w:val="2"/>
          <w:numId w:val="10"/>
        </w:numPr>
        <w:spacing w:line="360" w:lineRule="auto"/>
        <w:ind w:left="630" w:leftChars="100" w:hanging="420" w:hangingChars="200"/>
        <w:rPr>
          <w:rFonts w:ascii="宋体" w:hAnsi="宋体"/>
          <w:szCs w:val="21"/>
        </w:rPr>
      </w:pPr>
      <w:r>
        <w:rPr>
          <w:rFonts w:hint="eastAsia" w:ascii="宋体" w:hAnsi="宋体"/>
          <w:szCs w:val="21"/>
        </w:rPr>
        <w:t>不同供应商的响应文件相互混淆；</w:t>
      </w:r>
    </w:p>
    <w:p>
      <w:pPr>
        <w:pStyle w:val="54"/>
        <w:widowControl/>
        <w:numPr>
          <w:ilvl w:val="2"/>
          <w:numId w:val="10"/>
        </w:numPr>
        <w:spacing w:line="360" w:lineRule="auto"/>
        <w:ind w:left="630" w:leftChars="100" w:hanging="420" w:hangingChars="200"/>
        <w:rPr>
          <w:rFonts w:ascii="宋体" w:hAnsi="宋体"/>
          <w:szCs w:val="21"/>
        </w:rPr>
      </w:pPr>
      <w:r>
        <w:rPr>
          <w:rFonts w:hint="eastAsia" w:ascii="宋体" w:hAnsi="宋体"/>
          <w:szCs w:val="21"/>
        </w:rPr>
        <w:t>不同供应商的平台使用费从同一单位或者个人的账户转出。</w:t>
      </w:r>
    </w:p>
    <w:p>
      <w:pPr>
        <w:pStyle w:val="54"/>
        <w:numPr>
          <w:ilvl w:val="0"/>
          <w:numId w:val="2"/>
        </w:numPr>
        <w:spacing w:line="360" w:lineRule="auto"/>
        <w:ind w:left="632" w:leftChars="100" w:hanging="422" w:hangingChars="200"/>
        <w:rPr>
          <w:rFonts w:ascii="宋体" w:hAnsi="宋体"/>
          <w:szCs w:val="21"/>
        </w:rPr>
      </w:pPr>
      <w:r>
        <w:rPr>
          <w:rFonts w:hint="eastAsia" w:ascii="宋体" w:hAnsi="宋体"/>
          <w:b/>
          <w:szCs w:val="21"/>
        </w:rPr>
        <w:t>竞价活动失败</w:t>
      </w:r>
    </w:p>
    <w:p>
      <w:pPr>
        <w:pStyle w:val="54"/>
        <w:numPr>
          <w:ilvl w:val="0"/>
          <w:numId w:val="11"/>
        </w:numPr>
        <w:spacing w:line="360" w:lineRule="auto"/>
        <w:ind w:left="630" w:leftChars="100" w:hangingChars="200"/>
        <w:rPr>
          <w:rFonts w:ascii="宋体" w:hAnsi="宋体"/>
        </w:rPr>
      </w:pPr>
      <w:r>
        <w:rPr>
          <w:rFonts w:hint="eastAsia" w:ascii="宋体" w:hAnsi="宋体"/>
          <w:szCs w:val="21"/>
        </w:rPr>
        <w:t>出现下列情况的，本次竞价活动失败：</w:t>
      </w:r>
    </w:p>
    <w:p>
      <w:pPr>
        <w:pStyle w:val="54"/>
        <w:spacing w:line="360" w:lineRule="auto"/>
        <w:ind w:left="630" w:leftChars="100" w:hanging="420" w:hangingChars="200"/>
        <w:rPr>
          <w:rFonts w:ascii="宋体" w:hAnsi="宋体"/>
        </w:rPr>
      </w:pPr>
      <w:r>
        <w:rPr>
          <w:rFonts w:hint="eastAsia" w:ascii="宋体" w:hAnsi="宋体"/>
        </w:rPr>
        <w:t>（1）报名供应商不足3家；</w:t>
      </w:r>
    </w:p>
    <w:p>
      <w:pPr>
        <w:pStyle w:val="54"/>
        <w:spacing w:line="360" w:lineRule="auto"/>
        <w:ind w:left="630" w:leftChars="100" w:hanging="420" w:hangingChars="200"/>
        <w:rPr>
          <w:rFonts w:ascii="宋体" w:hAnsi="宋体"/>
          <w:szCs w:val="21"/>
        </w:rPr>
      </w:pPr>
      <w:r>
        <w:rPr>
          <w:rFonts w:hint="eastAsia" w:ascii="宋体" w:hAnsi="宋体"/>
        </w:rPr>
        <w:t>（2）有效报价供应商不足3家。</w:t>
      </w:r>
    </w:p>
    <w:p>
      <w:pPr>
        <w:pStyle w:val="54"/>
        <w:numPr>
          <w:ilvl w:val="0"/>
          <w:numId w:val="11"/>
        </w:numPr>
        <w:spacing w:line="360" w:lineRule="auto"/>
        <w:ind w:left="630" w:leftChars="100" w:hangingChars="200"/>
        <w:rPr>
          <w:rFonts w:ascii="宋体" w:hAnsi="宋体"/>
          <w:szCs w:val="21"/>
        </w:rPr>
      </w:pPr>
      <w:r>
        <w:rPr>
          <w:rFonts w:ascii="宋体" w:hAnsi="宋体"/>
          <w:szCs w:val="21"/>
        </w:rPr>
        <w:t>出现影响采购公正的违法、违规行为的</w:t>
      </w:r>
      <w:r>
        <w:rPr>
          <w:rFonts w:hint="eastAsia" w:ascii="宋体" w:hAnsi="宋体"/>
          <w:szCs w:val="21"/>
        </w:rPr>
        <w:t>；</w:t>
      </w:r>
    </w:p>
    <w:p>
      <w:pPr>
        <w:pStyle w:val="54"/>
        <w:numPr>
          <w:ilvl w:val="0"/>
          <w:numId w:val="11"/>
        </w:numPr>
        <w:spacing w:line="360" w:lineRule="auto"/>
        <w:ind w:left="630" w:leftChars="100" w:hangingChars="200"/>
        <w:rPr>
          <w:rFonts w:ascii="宋体" w:hAnsi="宋体"/>
          <w:szCs w:val="21"/>
        </w:rPr>
      </w:pPr>
      <w:r>
        <w:rPr>
          <w:rFonts w:ascii="宋体" w:hAnsi="宋体"/>
          <w:szCs w:val="21"/>
        </w:rPr>
        <w:t>因重大变故，采购任务取消的</w:t>
      </w:r>
      <w:r>
        <w:rPr>
          <w:rFonts w:hint="eastAsia" w:ascii="宋体" w:hAnsi="宋体"/>
          <w:szCs w:val="21"/>
        </w:rPr>
        <w:t>。</w:t>
      </w:r>
    </w:p>
    <w:p>
      <w:pPr>
        <w:pStyle w:val="54"/>
        <w:numPr>
          <w:ilvl w:val="0"/>
          <w:numId w:val="2"/>
        </w:numPr>
        <w:spacing w:line="360" w:lineRule="auto"/>
        <w:ind w:left="632" w:leftChars="100" w:hanging="422" w:hangingChars="200"/>
        <w:rPr>
          <w:rFonts w:ascii="宋体" w:hAnsi="宋体"/>
          <w:b/>
          <w:szCs w:val="21"/>
        </w:rPr>
      </w:pPr>
      <w:r>
        <w:rPr>
          <w:rFonts w:hint="eastAsia" w:ascii="宋体" w:hAnsi="宋体"/>
          <w:b/>
          <w:szCs w:val="21"/>
        </w:rPr>
        <w:t>使用费</w:t>
      </w:r>
    </w:p>
    <w:p>
      <w:pPr>
        <w:pStyle w:val="54"/>
        <w:numPr>
          <w:ilvl w:val="0"/>
          <w:numId w:val="12"/>
        </w:numPr>
        <w:spacing w:line="360" w:lineRule="auto"/>
        <w:ind w:left="630" w:leftChars="100" w:hangingChars="200"/>
        <w:rPr>
          <w:rFonts w:ascii="宋体" w:hAnsi="宋体"/>
          <w:szCs w:val="21"/>
        </w:rPr>
      </w:pPr>
      <w:r>
        <w:rPr>
          <w:rFonts w:hint="eastAsia" w:ascii="宋体" w:hAnsi="宋体"/>
          <w:szCs w:val="21"/>
        </w:rPr>
        <w:t>成交供应商须向平台服务商云采链线上采购一体化平台缴纳平台使用费，</w:t>
      </w:r>
      <w:r>
        <w:rPr>
          <w:rFonts w:hint="eastAsia" w:ascii="宋体" w:hAnsi="宋体"/>
        </w:rPr>
        <w:t>金额为成交金额的1.2%</w:t>
      </w:r>
      <w:r>
        <w:rPr>
          <w:rFonts w:hint="eastAsia" w:ascii="宋体" w:hAnsi="宋体"/>
          <w:b/>
        </w:rPr>
        <w:t>（四舍五入取整数）</w:t>
      </w:r>
      <w:r>
        <w:rPr>
          <w:rFonts w:hint="eastAsia" w:ascii="宋体" w:hAnsi="宋体"/>
        </w:rPr>
        <w:t>；</w:t>
      </w:r>
    </w:p>
    <w:p>
      <w:pPr>
        <w:pStyle w:val="54"/>
        <w:numPr>
          <w:ilvl w:val="0"/>
          <w:numId w:val="12"/>
        </w:numPr>
        <w:spacing w:line="360" w:lineRule="auto"/>
        <w:ind w:left="630" w:leftChars="100" w:hangingChars="200"/>
        <w:rPr>
          <w:rFonts w:ascii="宋体" w:hAnsi="宋体"/>
          <w:szCs w:val="21"/>
        </w:rPr>
      </w:pPr>
      <w:r>
        <w:rPr>
          <w:rFonts w:hint="eastAsia" w:ascii="宋体" w:hAnsi="宋体"/>
          <w:szCs w:val="21"/>
        </w:rPr>
        <w:t>成交供应商无正当理由放弃成交资格的必须按竞价公告等相关规定缴纳相应的平台使用费；</w:t>
      </w:r>
    </w:p>
    <w:p>
      <w:pPr>
        <w:pStyle w:val="54"/>
        <w:numPr>
          <w:ilvl w:val="0"/>
          <w:numId w:val="12"/>
        </w:numPr>
        <w:spacing w:line="360" w:lineRule="auto"/>
        <w:ind w:left="630" w:leftChars="100" w:hangingChars="200"/>
        <w:rPr>
          <w:rFonts w:ascii="宋体" w:hAnsi="宋体"/>
          <w:szCs w:val="21"/>
        </w:rPr>
      </w:pPr>
      <w:r>
        <w:rPr>
          <w:rFonts w:hint="eastAsia" w:ascii="宋体" w:hAnsi="宋体"/>
          <w:szCs w:val="21"/>
        </w:rPr>
        <w:t>如确实因不可抗力放弃成交资格的，应在不可抗力发生后三个工作日内予以通知采购代理机构并提供相关的证明；如逾期，采购代理机构不予退还平台使用费。</w:t>
      </w:r>
    </w:p>
    <w:p>
      <w:pPr>
        <w:pStyle w:val="73"/>
        <w:numPr>
          <w:ilvl w:val="0"/>
          <w:numId w:val="3"/>
        </w:numPr>
        <w:spacing w:line="360" w:lineRule="auto"/>
        <w:ind w:left="632" w:leftChars="100" w:hanging="422" w:hangingChars="200"/>
        <w:rPr>
          <w:rFonts w:ascii="宋体" w:hAnsi="宋体"/>
          <w:b/>
          <w:szCs w:val="21"/>
        </w:rPr>
      </w:pPr>
      <w:r>
        <w:rPr>
          <w:rFonts w:hint="eastAsia" w:ascii="宋体" w:hAnsi="宋体"/>
          <w:b/>
          <w:szCs w:val="21"/>
        </w:rPr>
        <w:t>联系方式</w:t>
      </w:r>
    </w:p>
    <w:p>
      <w:pPr>
        <w:pStyle w:val="54"/>
        <w:widowControl/>
        <w:spacing w:line="360" w:lineRule="auto"/>
        <w:ind w:left="630" w:leftChars="100" w:hanging="420" w:hangingChars="200"/>
        <w:rPr>
          <w:rFonts w:ascii="宋体" w:hAnsi="宋体"/>
          <w:szCs w:val="21"/>
        </w:rPr>
      </w:pPr>
      <w:r>
        <w:rPr>
          <w:rFonts w:ascii="宋体" w:hAnsi="宋体"/>
          <w:szCs w:val="21"/>
        </w:rPr>
        <w:t>扫码关注微信公众号“云采链互联服务平台”，即可在线咨询相关事项</w:t>
      </w:r>
      <w:r>
        <w:rPr>
          <w:rFonts w:hint="eastAsia" w:ascii="宋体" w:hAnsi="宋体"/>
          <w:szCs w:val="21"/>
        </w:rPr>
        <w:t>。</w:t>
      </w:r>
    </w:p>
    <w:p>
      <w:pPr>
        <w:pStyle w:val="54"/>
        <w:widowControl/>
        <w:spacing w:line="360" w:lineRule="auto"/>
        <w:ind w:left="420" w:firstLine="0" w:firstLineChars="0"/>
        <w:jc w:val="center"/>
        <w:rPr>
          <w:rFonts w:ascii="宋体" w:hAnsi="宋体"/>
          <w:b/>
          <w:szCs w:val="21"/>
        </w:rPr>
      </w:pPr>
      <w:r>
        <w:rPr>
          <w:rFonts w:ascii="宋体" w:hAnsi="宋体"/>
          <w:szCs w:val="21"/>
        </w:rPr>
        <w:drawing>
          <wp:inline distT="0" distB="0" distL="114300" distR="114300">
            <wp:extent cx="1371600" cy="1371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371600" cy="1371600"/>
                    </a:xfrm>
                    <a:prstGeom prst="rect">
                      <a:avLst/>
                    </a:prstGeom>
                    <a:noFill/>
                    <a:ln>
                      <a:noFill/>
                    </a:ln>
                  </pic:spPr>
                </pic:pic>
              </a:graphicData>
            </a:graphic>
          </wp:inline>
        </w:drawing>
      </w:r>
    </w:p>
    <w:p>
      <w:pPr>
        <w:pStyle w:val="24"/>
        <w:spacing w:before="0" w:after="0" w:line="360" w:lineRule="auto"/>
        <w:rPr>
          <w:rFonts w:ascii="宋体" w:hAnsi="宋体"/>
          <w:highlight w:val="lightGray"/>
        </w:rPr>
      </w:pPr>
      <w:r>
        <w:rPr>
          <w:rFonts w:ascii="宋体" w:hAnsi="宋体"/>
          <w:sz w:val="21"/>
          <w:szCs w:val="21"/>
        </w:rPr>
        <w:br w:type="page"/>
      </w:r>
      <w:r>
        <w:rPr>
          <w:rFonts w:hint="eastAsia" w:ascii="宋体" w:hAnsi="宋体"/>
        </w:rPr>
        <w:t>第二章 用户需求书</w:t>
      </w:r>
    </w:p>
    <w:p>
      <w:pPr>
        <w:spacing w:line="360" w:lineRule="auto"/>
        <w:rPr>
          <w:rFonts w:ascii="宋体" w:hAnsi="宋体" w:cs="宋体"/>
          <w:b/>
          <w:bCs/>
          <w:szCs w:val="21"/>
        </w:rPr>
      </w:pPr>
      <w:r>
        <w:rPr>
          <w:rFonts w:hint="eastAsia" w:ascii="宋体" w:hAnsi="宋体" w:cs="宋体"/>
          <w:b/>
          <w:bCs/>
          <w:szCs w:val="21"/>
        </w:rPr>
        <w:t>说明：</w:t>
      </w:r>
    </w:p>
    <w:p>
      <w:pPr>
        <w:snapToGrid w:val="0"/>
        <w:spacing w:line="360" w:lineRule="auto"/>
        <w:rPr>
          <w:rFonts w:ascii="宋体" w:hAnsi="宋体"/>
          <w:b/>
          <w:bCs/>
          <w:szCs w:val="21"/>
        </w:rPr>
      </w:pPr>
      <w:r>
        <w:rPr>
          <w:rFonts w:hint="eastAsia" w:ascii="宋体" w:hAnsi="宋体"/>
          <w:b/>
          <w:bCs/>
          <w:szCs w:val="21"/>
        </w:rPr>
        <w:t xml:space="preserve">1.响应供应商须对本项目进行整体响应，任何只对其中一部分进行的响应都被视为无效响应。 </w:t>
      </w:r>
    </w:p>
    <w:p>
      <w:pPr>
        <w:pStyle w:val="3"/>
        <w:rPr>
          <w:rFonts w:ascii="宋体" w:hAnsi="宋体" w:cs="宋体"/>
        </w:rPr>
      </w:pPr>
      <w:r>
        <w:rPr>
          <w:rFonts w:hint="eastAsia" w:ascii="宋体" w:hAnsi="宋体" w:cs="宋体"/>
        </w:rPr>
        <w:t>项目一览表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07"/>
        <w:gridCol w:w="750"/>
        <w:gridCol w:w="2665"/>
        <w:gridCol w:w="23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2707" w:type="dxa"/>
            <w:tcBorders>
              <w:top w:val="single" w:color="auto" w:sz="12" w:space="0"/>
              <w:left w:val="single" w:color="auto" w:sz="12" w:space="0"/>
              <w:bottom w:val="single" w:color="auto" w:sz="6" w:space="0"/>
              <w:right w:val="single" w:color="auto" w:sz="6" w:space="0"/>
            </w:tcBorders>
            <w:shd w:val="clear" w:color="auto" w:fill="EEECE1"/>
            <w:vAlign w:val="center"/>
          </w:tcPr>
          <w:p>
            <w:pPr>
              <w:jc w:val="center"/>
              <w:rPr>
                <w:rFonts w:ascii="宋体" w:hAnsi="宋体" w:cs="宋体"/>
                <w:b/>
                <w:szCs w:val="21"/>
              </w:rPr>
            </w:pPr>
            <w:r>
              <w:rPr>
                <w:rFonts w:hint="eastAsia" w:ascii="宋体" w:hAnsi="宋体" w:cs="宋体"/>
                <w:b/>
                <w:szCs w:val="21"/>
                <w:lang w:bidi="ar"/>
              </w:rPr>
              <w:t>采购内容</w:t>
            </w:r>
          </w:p>
        </w:tc>
        <w:tc>
          <w:tcPr>
            <w:tcW w:w="750" w:type="dxa"/>
            <w:tcBorders>
              <w:top w:val="single" w:color="auto" w:sz="12" w:space="0"/>
              <w:left w:val="single" w:color="auto" w:sz="6" w:space="0"/>
              <w:bottom w:val="single" w:color="auto" w:sz="6" w:space="0"/>
              <w:right w:val="single" w:color="auto" w:sz="6" w:space="0"/>
            </w:tcBorders>
            <w:shd w:val="clear" w:color="auto" w:fill="EEECE1"/>
            <w:vAlign w:val="center"/>
          </w:tcPr>
          <w:p>
            <w:pPr>
              <w:jc w:val="center"/>
              <w:rPr>
                <w:rFonts w:ascii="宋体" w:hAnsi="宋体" w:cs="宋体"/>
                <w:b/>
                <w:szCs w:val="21"/>
              </w:rPr>
            </w:pPr>
            <w:r>
              <w:rPr>
                <w:rFonts w:hint="eastAsia" w:ascii="宋体" w:hAnsi="宋体" w:cs="宋体"/>
                <w:b/>
                <w:szCs w:val="21"/>
                <w:lang w:bidi="ar"/>
              </w:rPr>
              <w:t>数量</w:t>
            </w:r>
          </w:p>
        </w:tc>
        <w:tc>
          <w:tcPr>
            <w:tcW w:w="2665" w:type="dxa"/>
            <w:tcBorders>
              <w:top w:val="single" w:color="auto" w:sz="12" w:space="0"/>
              <w:left w:val="single" w:color="auto" w:sz="6" w:space="0"/>
              <w:bottom w:val="single" w:color="auto" w:sz="6" w:space="0"/>
              <w:right w:val="single" w:color="auto" w:sz="6" w:space="0"/>
            </w:tcBorders>
            <w:shd w:val="clear" w:color="auto" w:fill="EEECE1"/>
            <w:vAlign w:val="center"/>
          </w:tcPr>
          <w:p>
            <w:pPr>
              <w:jc w:val="center"/>
              <w:rPr>
                <w:rFonts w:ascii="宋体" w:hAnsi="宋体" w:cs="宋体"/>
                <w:b/>
                <w:szCs w:val="21"/>
              </w:rPr>
            </w:pPr>
            <w:r>
              <w:rPr>
                <w:rFonts w:hint="eastAsia" w:ascii="宋体" w:hAnsi="宋体" w:cs="宋体"/>
                <w:b/>
                <w:szCs w:val="21"/>
                <w:lang w:bidi="ar"/>
              </w:rPr>
              <w:t>项目施工总工期</w:t>
            </w:r>
          </w:p>
        </w:tc>
        <w:tc>
          <w:tcPr>
            <w:tcW w:w="2304" w:type="dxa"/>
            <w:tcBorders>
              <w:top w:val="single" w:color="auto" w:sz="12" w:space="0"/>
              <w:left w:val="single" w:color="auto" w:sz="6" w:space="0"/>
              <w:bottom w:val="single" w:color="auto" w:sz="6" w:space="0"/>
              <w:right w:val="single" w:color="auto" w:sz="12" w:space="0"/>
            </w:tcBorders>
            <w:shd w:val="clear" w:color="auto" w:fill="EEECE1"/>
            <w:vAlign w:val="center"/>
          </w:tcPr>
          <w:p>
            <w:pPr>
              <w:jc w:val="center"/>
              <w:rPr>
                <w:rFonts w:ascii="宋体" w:hAnsi="宋体" w:cs="宋体"/>
                <w:szCs w:val="21"/>
              </w:rPr>
            </w:pPr>
            <w:r>
              <w:rPr>
                <w:rFonts w:hint="eastAsia" w:ascii="宋体" w:hAnsi="宋体" w:cs="宋体"/>
                <w:b/>
                <w:szCs w:val="21"/>
                <w:lang w:bidi="ar"/>
              </w:rPr>
              <w:t>最高限价（含税）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2707" w:type="dxa"/>
            <w:tcBorders>
              <w:top w:val="single" w:color="auto" w:sz="6" w:space="0"/>
              <w:left w:val="single" w:color="auto" w:sz="12" w:space="0"/>
              <w:bottom w:val="single" w:color="auto" w:sz="12" w:space="0"/>
              <w:right w:val="single" w:color="auto" w:sz="6" w:space="0"/>
            </w:tcBorders>
            <w:shd w:val="clear" w:color="auto" w:fill="auto"/>
            <w:vAlign w:val="center"/>
          </w:tcPr>
          <w:p>
            <w:pPr>
              <w:jc w:val="center"/>
              <w:rPr>
                <w:rFonts w:hint="eastAsia" w:ascii="宋体" w:hAnsi="宋体" w:eastAsia="宋体" w:cs="宋体"/>
                <w:szCs w:val="21"/>
                <w:lang w:eastAsia="zh-CN"/>
              </w:rPr>
            </w:pPr>
            <w:r>
              <w:rPr>
                <w:rFonts w:hint="eastAsia" w:ascii="宋体" w:hAnsi="宋体" w:cs="宋体"/>
                <w:szCs w:val="21"/>
                <w:lang w:eastAsia="zh-CN" w:bidi="ar"/>
              </w:rPr>
              <w:t>广东省广裕集团阳春实业有限公司生产区绿化带砌花基项目（第三次竞价）</w:t>
            </w:r>
          </w:p>
        </w:tc>
        <w:tc>
          <w:tcPr>
            <w:tcW w:w="750" w:type="dxa"/>
            <w:tcBorders>
              <w:top w:val="single" w:color="auto" w:sz="6" w:space="0"/>
              <w:left w:val="single" w:color="auto" w:sz="6" w:space="0"/>
              <w:bottom w:val="single" w:color="auto" w:sz="12" w:space="0"/>
              <w:right w:val="single" w:color="auto" w:sz="6" w:space="0"/>
            </w:tcBorders>
            <w:shd w:val="clear" w:color="auto" w:fill="auto"/>
            <w:vAlign w:val="center"/>
          </w:tcPr>
          <w:p>
            <w:pPr>
              <w:jc w:val="center"/>
              <w:rPr>
                <w:rFonts w:ascii="宋体" w:hAnsi="宋体" w:cs="宋体"/>
                <w:szCs w:val="21"/>
              </w:rPr>
            </w:pPr>
            <w:r>
              <w:rPr>
                <w:rFonts w:hint="eastAsia" w:ascii="宋体" w:hAnsi="宋体" w:cs="宋体"/>
                <w:szCs w:val="21"/>
                <w:lang w:bidi="ar"/>
              </w:rPr>
              <w:t>1项</w:t>
            </w:r>
          </w:p>
        </w:tc>
        <w:tc>
          <w:tcPr>
            <w:tcW w:w="2665" w:type="dxa"/>
            <w:tcBorders>
              <w:top w:val="single" w:color="auto" w:sz="6" w:space="0"/>
              <w:left w:val="single" w:color="auto" w:sz="6" w:space="0"/>
              <w:bottom w:val="single" w:color="auto" w:sz="12" w:space="0"/>
              <w:right w:val="single" w:color="auto" w:sz="6" w:space="0"/>
            </w:tcBorders>
            <w:shd w:val="clear" w:color="auto" w:fill="auto"/>
            <w:vAlign w:val="center"/>
          </w:tcPr>
          <w:p>
            <w:pPr>
              <w:pStyle w:val="23"/>
              <w:keepNext/>
              <w:widowControl w:val="0"/>
              <w:adjustRightInd w:val="0"/>
              <w:spacing w:before="60" w:beforeAutospacing="0" w:after="60" w:afterAutospacing="0"/>
              <w:jc w:val="center"/>
              <w:rPr>
                <w:kern w:val="2"/>
                <w:sz w:val="21"/>
                <w:szCs w:val="21"/>
              </w:rPr>
            </w:pPr>
            <w:r>
              <w:rPr>
                <w:rFonts w:hint="eastAsia"/>
                <w:kern w:val="2"/>
                <w:sz w:val="21"/>
                <w:szCs w:val="21"/>
              </w:rPr>
              <w:t>从合同签订之日起为期60个日历日，具体工期需根据建设单位的相关规定调整</w:t>
            </w:r>
          </w:p>
        </w:tc>
        <w:tc>
          <w:tcPr>
            <w:tcW w:w="2304" w:type="dxa"/>
            <w:tcBorders>
              <w:top w:val="single" w:color="auto" w:sz="6" w:space="0"/>
              <w:left w:val="single" w:color="auto" w:sz="6" w:space="0"/>
              <w:bottom w:val="single" w:color="auto" w:sz="12" w:space="0"/>
              <w:right w:val="single" w:color="auto" w:sz="12" w:space="0"/>
            </w:tcBorders>
            <w:shd w:val="clear" w:color="auto" w:fill="auto"/>
            <w:vAlign w:val="center"/>
          </w:tcPr>
          <w:p>
            <w:pPr>
              <w:jc w:val="center"/>
              <w:rPr>
                <w:rFonts w:ascii="宋体" w:hAnsi="宋体" w:cs="宋体"/>
                <w:szCs w:val="21"/>
              </w:rPr>
            </w:pPr>
            <w:r>
              <w:rPr>
                <w:rFonts w:hint="eastAsia" w:ascii="宋体" w:hAnsi="宋体" w:cs="宋体"/>
                <w:szCs w:val="21"/>
                <w:lang w:bidi="ar"/>
              </w:rPr>
              <w:t>人民币75746.60元，其中绿色施工安全防护措施费含税2154.53元为不可竞争费用</w:t>
            </w:r>
          </w:p>
        </w:tc>
      </w:tr>
    </w:tbl>
    <w:p>
      <w:pPr>
        <w:pStyle w:val="3"/>
        <w:rPr>
          <w:rFonts w:ascii="宋体" w:hAnsi="宋体" w:cs="宋体"/>
        </w:rPr>
      </w:pPr>
      <w:r>
        <w:rPr>
          <w:rFonts w:hint="eastAsia" w:ascii="宋体" w:hAnsi="宋体" w:cs="宋体"/>
        </w:rPr>
        <w:t>项目概况</w:t>
      </w:r>
    </w:p>
    <w:p>
      <w:pPr>
        <w:pStyle w:val="23"/>
        <w:widowControl w:val="0"/>
        <w:numPr>
          <w:ilvl w:val="0"/>
          <w:numId w:val="13"/>
        </w:numPr>
        <w:tabs>
          <w:tab w:val="left" w:pos="540"/>
        </w:tabs>
        <w:adjustRightInd w:val="0"/>
        <w:snapToGrid w:val="0"/>
        <w:spacing w:before="0" w:beforeAutospacing="0" w:after="0" w:afterAutospacing="0" w:line="360" w:lineRule="auto"/>
        <w:ind w:firstLine="422" w:firstLineChars="200"/>
        <w:jc w:val="both"/>
        <w:rPr>
          <w:b/>
          <w:bCs/>
          <w:sz w:val="21"/>
          <w:szCs w:val="21"/>
        </w:rPr>
      </w:pPr>
      <w:r>
        <w:rPr>
          <w:rFonts w:hint="eastAsia"/>
          <w:b/>
          <w:bCs/>
          <w:kern w:val="2"/>
          <w:sz w:val="21"/>
          <w:szCs w:val="21"/>
          <w:lang w:bidi="ar"/>
        </w:rPr>
        <w:t>采购项目工程内容：</w:t>
      </w:r>
    </w:p>
    <w:p>
      <w:pPr>
        <w:spacing w:line="360" w:lineRule="auto"/>
        <w:ind w:firstLine="420" w:firstLineChars="200"/>
        <w:rPr>
          <w:rFonts w:ascii="宋体" w:hAnsi="宋体" w:cs="宋体"/>
          <w:szCs w:val="21"/>
        </w:rPr>
      </w:pPr>
      <w:r>
        <w:rPr>
          <w:rFonts w:hint="eastAsia" w:ascii="宋体" w:hAnsi="宋体" w:cs="宋体"/>
          <w:szCs w:val="21"/>
          <w:lang w:bidi="ar"/>
        </w:rPr>
        <w:t>采购人拟对</w:t>
      </w:r>
      <w:r>
        <w:rPr>
          <w:rFonts w:hint="eastAsia" w:ascii="宋体" w:hAnsi="宋体" w:cs="宋体"/>
          <w:bCs/>
          <w:szCs w:val="21"/>
          <w:lang w:bidi="ar"/>
        </w:rPr>
        <w:t>生产区绿化带破损的水泥花基拆除，新建花岗岩路缘石花基等内容</w:t>
      </w:r>
      <w:r>
        <w:rPr>
          <w:rFonts w:hint="eastAsia" w:ascii="宋体" w:hAnsi="宋体" w:cs="宋体"/>
          <w:szCs w:val="21"/>
          <w:lang w:bidi="ar"/>
        </w:rPr>
        <w:t>。工程具体清单以施工图纸、工程量清单及有关资料为准。</w:t>
      </w:r>
    </w:p>
    <w:p>
      <w:pPr>
        <w:numPr>
          <w:ilvl w:val="0"/>
          <w:numId w:val="13"/>
        </w:numPr>
        <w:spacing w:line="360" w:lineRule="auto"/>
        <w:ind w:firstLine="422" w:firstLineChars="200"/>
        <w:rPr>
          <w:rFonts w:ascii="宋体" w:hAnsi="宋体" w:cs="宋体"/>
          <w:b/>
          <w:bCs/>
          <w:szCs w:val="21"/>
        </w:rPr>
      </w:pPr>
      <w:r>
        <w:rPr>
          <w:rFonts w:hint="eastAsia" w:ascii="宋体" w:hAnsi="宋体" w:cs="宋体"/>
          <w:b/>
          <w:bCs/>
          <w:szCs w:val="21"/>
          <w:lang w:bidi="ar"/>
        </w:rPr>
        <w:t>承包方式：</w:t>
      </w:r>
    </w:p>
    <w:p>
      <w:pPr>
        <w:spacing w:line="360" w:lineRule="auto"/>
        <w:ind w:firstLine="420" w:firstLineChars="200"/>
        <w:rPr>
          <w:rFonts w:ascii="宋体" w:hAnsi="宋体" w:cs="宋体"/>
          <w:szCs w:val="21"/>
        </w:rPr>
      </w:pPr>
      <w:r>
        <w:rPr>
          <w:rFonts w:hint="eastAsia" w:ascii="宋体" w:hAnsi="宋体" w:cs="宋体"/>
          <w:szCs w:val="21"/>
          <w:lang w:bidi="ar"/>
        </w:rPr>
        <w:t>报价为人民币含税包干价，承包人根据有关设计图纸、资料及说明，按包工、包料、包机械、包工期、包质量、包安全生产、包文明施工、包劳保、包验收、包联动调试、包竣工验收以及施工总承包管理配合服务等方式完成工程的一切费用。承包人作为规范成熟的服务方能出现的估算错误及漏项，承担相应后果。</w:t>
      </w:r>
    </w:p>
    <w:p>
      <w:pPr>
        <w:pStyle w:val="13"/>
        <w:widowControl/>
        <w:spacing w:line="360" w:lineRule="auto"/>
        <w:ind w:firstLine="420" w:firstLineChars="200"/>
        <w:rPr>
          <w:rFonts w:ascii="宋体" w:hAnsi="宋体" w:cs="宋体"/>
          <w:szCs w:val="21"/>
        </w:rPr>
      </w:pPr>
      <w:r>
        <w:rPr>
          <w:rFonts w:hint="eastAsia" w:ascii="宋体" w:hAnsi="宋体" w:cs="宋体"/>
          <w:szCs w:val="21"/>
        </w:rPr>
        <w:t>采购人根据工程实施情况或政府相关部门对该工程的相关建设要求，会对承包人的承包范围进行局部适当调整，承包人不得因此提出任何索赔或补偿。</w:t>
      </w:r>
    </w:p>
    <w:p>
      <w:pPr>
        <w:pStyle w:val="3"/>
        <w:rPr>
          <w:rFonts w:ascii="宋体" w:hAnsi="宋体" w:cs="宋体"/>
        </w:rPr>
      </w:pPr>
      <w:r>
        <w:rPr>
          <w:rFonts w:hint="eastAsia" w:ascii="宋体" w:hAnsi="宋体" w:cs="宋体"/>
        </w:rPr>
        <w:t>采购项目施工要求</w:t>
      </w:r>
    </w:p>
    <w:p>
      <w:pPr>
        <w:numPr>
          <w:ilvl w:val="0"/>
          <w:numId w:val="14"/>
        </w:numPr>
        <w:spacing w:line="360" w:lineRule="auto"/>
        <w:rPr>
          <w:rFonts w:ascii="宋体" w:hAnsi="宋体" w:cs="宋体"/>
          <w:szCs w:val="21"/>
        </w:rPr>
      </w:pPr>
      <w:r>
        <w:rPr>
          <w:rFonts w:hint="eastAsia" w:ascii="宋体" w:hAnsi="宋体" w:cs="宋体"/>
          <w:szCs w:val="21"/>
          <w:lang w:bidi="ar"/>
        </w:rPr>
        <w:t>承包人在施工期间应严格遵守《中华人民共和国安全生产法》（国家主席70号令）、《建设工程安全生产管理条例》（中华人民共和国国务院令第393号）以及文明施工，建立规章制度和防护措施。若违反以上规定，由此造成的经济和法律责任，均由承包人负责。</w:t>
      </w:r>
    </w:p>
    <w:p>
      <w:pPr>
        <w:numPr>
          <w:ilvl w:val="0"/>
          <w:numId w:val="14"/>
        </w:numPr>
        <w:adjustRightInd w:val="0"/>
        <w:snapToGrid w:val="0"/>
        <w:spacing w:line="360" w:lineRule="auto"/>
        <w:rPr>
          <w:rFonts w:ascii="宋体" w:hAnsi="宋体" w:cs="宋体"/>
          <w:szCs w:val="21"/>
        </w:rPr>
      </w:pPr>
      <w:r>
        <w:rPr>
          <w:rFonts w:hint="eastAsia" w:ascii="宋体" w:hAnsi="宋体" w:cs="宋体"/>
          <w:szCs w:val="21"/>
          <w:lang w:bidi="ar"/>
        </w:rPr>
        <w:t>合同约定的工程项目，承包人不得转包、分包。否则，采购人有权单方面终止合同，并令其退场，由此而造成直接经济损失由承包人负责赔偿，履约保证金不予以退还。</w:t>
      </w:r>
    </w:p>
    <w:p>
      <w:pPr>
        <w:numPr>
          <w:ilvl w:val="0"/>
          <w:numId w:val="14"/>
        </w:numPr>
        <w:adjustRightInd w:val="0"/>
        <w:snapToGrid w:val="0"/>
        <w:spacing w:line="360" w:lineRule="auto"/>
        <w:rPr>
          <w:rFonts w:ascii="宋体" w:hAnsi="宋体" w:cs="宋体"/>
          <w:szCs w:val="21"/>
        </w:rPr>
      </w:pPr>
      <w:r>
        <w:rPr>
          <w:rFonts w:hint="eastAsia" w:ascii="宋体" w:hAnsi="宋体" w:cs="宋体"/>
          <w:szCs w:val="21"/>
          <w:lang w:bidi="ar"/>
        </w:rPr>
        <w:t>施工期间承包人必须遵守采购人单位的管理制度，安装所需工具设施由承包人自备、自费运到现场，安排人员看管，收工后全部带出监管区，安装时须对各安装场地内的其他设备、设施有良好保护措施，如有损坏，所有费用由承包人承担。</w:t>
      </w:r>
    </w:p>
    <w:p>
      <w:pPr>
        <w:numPr>
          <w:ilvl w:val="0"/>
          <w:numId w:val="14"/>
        </w:numPr>
        <w:adjustRightInd w:val="0"/>
        <w:snapToGrid w:val="0"/>
        <w:spacing w:line="360" w:lineRule="auto"/>
        <w:rPr>
          <w:rFonts w:ascii="宋体" w:hAnsi="宋体" w:cs="宋体"/>
          <w:szCs w:val="21"/>
        </w:rPr>
      </w:pPr>
      <w:r>
        <w:rPr>
          <w:rFonts w:hint="eastAsia" w:ascii="宋体" w:hAnsi="宋体" w:cs="宋体"/>
          <w:szCs w:val="21"/>
          <w:lang w:bidi="ar"/>
        </w:rPr>
        <w:t>承包人必须委派一名项目负责人全程跟进施工情况，直至施工完毕。</w:t>
      </w:r>
    </w:p>
    <w:p>
      <w:pPr>
        <w:numPr>
          <w:ilvl w:val="0"/>
          <w:numId w:val="14"/>
        </w:numPr>
        <w:spacing w:line="360" w:lineRule="auto"/>
        <w:rPr>
          <w:rFonts w:ascii="宋体" w:hAnsi="宋体" w:cs="宋体"/>
          <w:szCs w:val="21"/>
        </w:rPr>
      </w:pPr>
      <w:r>
        <w:rPr>
          <w:rFonts w:hint="eastAsia" w:ascii="宋体" w:hAnsi="宋体" w:cs="宋体"/>
          <w:szCs w:val="21"/>
          <w:lang w:bidi="ar"/>
        </w:rPr>
        <w:t>承包人必须服从建设单位的现场管理要求，遵守保密制度，不得随意拍照，不得上传互联网。</w:t>
      </w:r>
    </w:p>
    <w:p>
      <w:pPr>
        <w:numPr>
          <w:ilvl w:val="0"/>
          <w:numId w:val="14"/>
        </w:numPr>
        <w:spacing w:line="360" w:lineRule="auto"/>
        <w:rPr>
          <w:rFonts w:ascii="宋体" w:hAnsi="宋体" w:cs="宋体"/>
          <w:szCs w:val="21"/>
        </w:rPr>
      </w:pPr>
      <w:r>
        <w:rPr>
          <w:rFonts w:hint="eastAsia" w:ascii="宋体" w:hAnsi="宋体" w:cs="宋体"/>
          <w:szCs w:val="21"/>
          <w:lang w:bidi="ar"/>
        </w:rPr>
        <w:t>因施工造成的损坏由施工单位恢复原状。</w:t>
      </w:r>
    </w:p>
    <w:p>
      <w:pPr>
        <w:numPr>
          <w:ilvl w:val="0"/>
          <w:numId w:val="14"/>
        </w:numPr>
        <w:spacing w:line="360" w:lineRule="auto"/>
        <w:rPr>
          <w:rFonts w:ascii="宋体" w:hAnsi="宋体" w:cs="宋体"/>
          <w:szCs w:val="21"/>
        </w:rPr>
      </w:pPr>
      <w:r>
        <w:rPr>
          <w:rFonts w:hint="eastAsia" w:ascii="宋体" w:hAnsi="宋体" w:cs="宋体"/>
          <w:szCs w:val="21"/>
          <w:lang w:bidi="ar"/>
        </w:rPr>
        <w:t>工人在进行施工时，必须要头戴安全帽，施工人员应该要穿上特定的荧光外套。以便提醒过往的车辆和行人，并且高处施工不允许有异物的坠落，以免对过往的车辆和行人造成意外伤害。</w:t>
      </w:r>
    </w:p>
    <w:p>
      <w:pPr>
        <w:numPr>
          <w:ilvl w:val="0"/>
          <w:numId w:val="14"/>
        </w:numPr>
        <w:spacing w:line="360" w:lineRule="auto"/>
        <w:rPr>
          <w:rFonts w:ascii="宋体" w:hAnsi="宋体" w:cs="宋体"/>
          <w:szCs w:val="21"/>
        </w:rPr>
      </w:pPr>
      <w:r>
        <w:rPr>
          <w:rFonts w:hint="eastAsia" w:ascii="宋体" w:hAnsi="宋体" w:cs="宋体"/>
          <w:szCs w:val="21"/>
          <w:lang w:bidi="ar"/>
        </w:rPr>
        <w:t>承包人在进行项目实施过程中必须遵循国家相关通用标准和行业规范；遵循相关防火、环保要求；承包人必须负责安装实施过程中产生的垃圾处理及相关费用。如有违反，一切责任均由承包人承担。</w:t>
      </w:r>
    </w:p>
    <w:p>
      <w:pPr>
        <w:numPr>
          <w:ilvl w:val="0"/>
          <w:numId w:val="14"/>
        </w:numPr>
        <w:spacing w:line="360" w:lineRule="auto"/>
        <w:rPr>
          <w:rFonts w:ascii="宋体" w:hAnsi="宋体" w:cs="宋体"/>
          <w:szCs w:val="21"/>
        </w:rPr>
      </w:pPr>
      <w:r>
        <w:rPr>
          <w:rFonts w:hint="eastAsia" w:ascii="宋体" w:hAnsi="宋体" w:cs="宋体"/>
          <w:szCs w:val="21"/>
          <w:lang w:bidi="ar"/>
        </w:rPr>
        <w:t>施工安全包括操作安全、安装人员安全由承包人全部负责管理，因施工造成的一切损失包括经济损失，全部由承包人自行承担，与采购人无关。</w:t>
      </w:r>
    </w:p>
    <w:p>
      <w:pPr>
        <w:numPr>
          <w:ilvl w:val="0"/>
          <w:numId w:val="14"/>
        </w:numPr>
        <w:spacing w:line="360" w:lineRule="auto"/>
        <w:rPr>
          <w:rFonts w:ascii="宋体" w:hAnsi="宋体" w:cs="宋体"/>
          <w:szCs w:val="21"/>
        </w:rPr>
      </w:pPr>
      <w:r>
        <w:rPr>
          <w:rFonts w:hint="eastAsia" w:ascii="宋体" w:hAnsi="宋体" w:cs="宋体"/>
          <w:szCs w:val="21"/>
          <w:lang w:bidi="ar"/>
        </w:rPr>
        <w:t>由于本工程项目需尽快实施，承包人务必响应及配合采购人的施工时长的服务需求，由此产生的一切经济费用由承包人自行承担。</w:t>
      </w:r>
    </w:p>
    <w:p>
      <w:pPr>
        <w:pStyle w:val="3"/>
        <w:rPr>
          <w:rFonts w:ascii="宋体" w:hAnsi="宋体" w:cs="宋体"/>
        </w:rPr>
      </w:pPr>
      <w:r>
        <w:rPr>
          <w:rFonts w:hint="eastAsia" w:ascii="宋体" w:hAnsi="宋体" w:cs="宋体"/>
        </w:rPr>
        <w:t>工程质量及验收要求</w:t>
      </w:r>
    </w:p>
    <w:p>
      <w:pPr>
        <w:numPr>
          <w:ilvl w:val="0"/>
          <w:numId w:val="15"/>
        </w:numPr>
        <w:spacing w:line="360" w:lineRule="auto"/>
        <w:rPr>
          <w:rFonts w:ascii="宋体" w:hAnsi="宋体" w:cs="宋体"/>
          <w:szCs w:val="21"/>
        </w:rPr>
      </w:pPr>
      <w:r>
        <w:rPr>
          <w:rFonts w:hint="eastAsia" w:ascii="宋体" w:hAnsi="宋体" w:cs="宋体"/>
          <w:szCs w:val="21"/>
          <w:lang w:bidi="ar"/>
        </w:rPr>
        <w:t>本工程以施工图纸、设计变更和《建筑装饰装修施工质量验收规范》（GB 50210-2018）、《建筑工程施工质量验收评定统一标准》（GB 50300-2013）等国家制订的施工及验收规范为质量评定验收标准，并达到合格标准。</w:t>
      </w:r>
    </w:p>
    <w:p>
      <w:pPr>
        <w:numPr>
          <w:ilvl w:val="0"/>
          <w:numId w:val="15"/>
        </w:numPr>
        <w:adjustRightInd w:val="0"/>
        <w:snapToGrid w:val="0"/>
        <w:spacing w:line="360" w:lineRule="auto"/>
        <w:rPr>
          <w:rFonts w:ascii="宋体" w:hAnsi="宋体" w:cs="宋体"/>
          <w:szCs w:val="21"/>
        </w:rPr>
      </w:pPr>
      <w:r>
        <w:rPr>
          <w:rFonts w:hint="eastAsia" w:ascii="宋体" w:hAnsi="宋体" w:cs="宋体"/>
          <w:szCs w:val="21"/>
          <w:lang w:bidi="ar"/>
        </w:rPr>
        <w:t>工程竣工后，承包人按规定整理提供完整的技术档案资料并发出竣工通知书经双方协商确定验收时间，采购人在双方确定的验收时间内组织验收，并办理验收、移交手续。如采购人在规定时间内未能组织验收，需及时通知承包人，另定验收日期。若验收不合格，承包人在采购人限定时间内修改后重新验收，并承担由于修改而产生的费用。工期不予顺延，竣工日期以最后检验合格的日期为准。</w:t>
      </w:r>
    </w:p>
    <w:p>
      <w:pPr>
        <w:numPr>
          <w:ilvl w:val="0"/>
          <w:numId w:val="15"/>
        </w:numPr>
        <w:adjustRightInd w:val="0"/>
        <w:snapToGrid w:val="0"/>
        <w:spacing w:line="360" w:lineRule="auto"/>
        <w:rPr>
          <w:rFonts w:ascii="宋体" w:hAnsi="宋体" w:cs="宋体"/>
          <w:szCs w:val="21"/>
        </w:rPr>
      </w:pPr>
      <w:r>
        <w:rPr>
          <w:rFonts w:hint="eastAsia" w:ascii="宋体" w:hAnsi="宋体" w:cs="宋体"/>
          <w:szCs w:val="21"/>
          <w:lang w:bidi="ar"/>
        </w:rPr>
        <w:t>工程竣工验收，应以施工图纸、国家颁发的施工验收规范和质量检验标准为依据。</w:t>
      </w:r>
    </w:p>
    <w:p>
      <w:pPr>
        <w:numPr>
          <w:ilvl w:val="0"/>
          <w:numId w:val="15"/>
        </w:numPr>
        <w:adjustRightInd w:val="0"/>
        <w:snapToGrid w:val="0"/>
        <w:spacing w:line="360" w:lineRule="auto"/>
        <w:rPr>
          <w:rFonts w:ascii="宋体" w:hAnsi="宋体" w:cs="宋体"/>
          <w:szCs w:val="21"/>
        </w:rPr>
      </w:pPr>
      <w:r>
        <w:rPr>
          <w:rFonts w:hint="eastAsia" w:ascii="宋体" w:hAnsi="宋体" w:cs="宋体"/>
          <w:szCs w:val="21"/>
          <w:lang w:bidi="ar"/>
        </w:rPr>
        <w:t>因承包人原因造成工程质量达不到合同约定验收标准的，采购人有权要求承包人返工直至符合合同要求为止，由此造成的费用增加和（或）工期延误由承包人承担。</w:t>
      </w:r>
    </w:p>
    <w:p>
      <w:pPr>
        <w:pStyle w:val="3"/>
        <w:rPr>
          <w:rFonts w:ascii="宋体" w:hAnsi="宋体" w:cs="宋体"/>
        </w:rPr>
      </w:pPr>
      <w:r>
        <w:rPr>
          <w:rFonts w:hint="eastAsia" w:ascii="宋体" w:hAnsi="宋体" w:cs="宋体"/>
        </w:rPr>
        <w:t>质保期限及质量保证金</w:t>
      </w:r>
    </w:p>
    <w:p>
      <w:pPr>
        <w:numPr>
          <w:ilvl w:val="0"/>
          <w:numId w:val="16"/>
        </w:numPr>
        <w:spacing w:line="360" w:lineRule="auto"/>
        <w:rPr>
          <w:rFonts w:ascii="宋体" w:hAnsi="宋体" w:cs="宋体"/>
          <w:szCs w:val="21"/>
        </w:rPr>
      </w:pPr>
      <w:r>
        <w:rPr>
          <w:rFonts w:hint="eastAsia" w:ascii="宋体" w:hAnsi="宋体" w:cs="宋体"/>
          <w:b/>
          <w:bCs/>
          <w:szCs w:val="21"/>
          <w:lang w:bidi="ar"/>
        </w:rPr>
        <w:t>质保期限：</w:t>
      </w:r>
      <w:r>
        <w:rPr>
          <w:rFonts w:hint="eastAsia" w:ascii="宋体" w:hAnsi="宋体" w:cs="宋体"/>
          <w:szCs w:val="21"/>
          <w:lang w:bidi="ar"/>
        </w:rPr>
        <w:t>1年，自竣工验收合格次日起计算。</w:t>
      </w:r>
    </w:p>
    <w:p>
      <w:pPr>
        <w:numPr>
          <w:ilvl w:val="0"/>
          <w:numId w:val="16"/>
        </w:numPr>
        <w:spacing w:line="360" w:lineRule="auto"/>
        <w:rPr>
          <w:rFonts w:ascii="宋体" w:hAnsi="宋体" w:cs="宋体"/>
          <w:szCs w:val="21"/>
        </w:rPr>
      </w:pPr>
      <w:r>
        <w:rPr>
          <w:rFonts w:hint="eastAsia" w:ascii="宋体" w:hAnsi="宋体" w:cs="宋体"/>
          <w:b/>
          <w:bCs/>
          <w:szCs w:val="21"/>
          <w:lang w:bidi="ar"/>
        </w:rPr>
        <w:t>质量保证金：</w:t>
      </w:r>
      <w:r>
        <w:rPr>
          <w:rFonts w:hint="eastAsia" w:ascii="宋体" w:hAnsi="宋体" w:cs="宋体"/>
          <w:szCs w:val="21"/>
          <w:lang w:bidi="ar"/>
        </w:rPr>
        <w:t>承包人在合同签订之日起10个工作日内向采购人支付合同价的5%作为履约保证金，竣工经验收合格后，履约保证金转为质量保证金，质保期内工程没有质量问题，期满后采购人根据承包人提供的凭证一个月内不计息退还。</w:t>
      </w:r>
    </w:p>
    <w:p>
      <w:pPr>
        <w:pStyle w:val="3"/>
        <w:rPr>
          <w:rFonts w:ascii="宋体" w:hAnsi="宋体" w:cs="宋体"/>
        </w:rPr>
      </w:pPr>
      <w:r>
        <w:rPr>
          <w:rFonts w:hint="eastAsia" w:ascii="宋体" w:hAnsi="宋体" w:cs="宋体"/>
        </w:rPr>
        <w:t>付款方式</w:t>
      </w:r>
    </w:p>
    <w:p>
      <w:pPr>
        <w:spacing w:line="360" w:lineRule="auto"/>
        <w:ind w:firstLine="420" w:firstLineChars="200"/>
        <w:rPr>
          <w:rFonts w:ascii="宋体" w:hAnsi="宋体" w:cs="宋体"/>
          <w:szCs w:val="21"/>
        </w:rPr>
      </w:pPr>
      <w:r>
        <w:rPr>
          <w:rFonts w:hint="eastAsia" w:ascii="宋体" w:hAnsi="宋体" w:cs="宋体"/>
          <w:szCs w:val="21"/>
          <w:lang w:bidi="ar"/>
        </w:rPr>
        <w:t xml:space="preserve">项目竣工验收合格及结算审核完成，承包人开具增值税专用发票后，采购人在30个工作日内通过银行转帐方式支付合同价款的100%。 </w:t>
      </w:r>
    </w:p>
    <w:p>
      <w:pPr>
        <w:pStyle w:val="3"/>
        <w:rPr>
          <w:rFonts w:ascii="宋体" w:hAnsi="宋体" w:cs="宋体"/>
        </w:rPr>
      </w:pPr>
      <w:r>
        <w:rPr>
          <w:rFonts w:hint="eastAsia" w:ascii="宋体" w:hAnsi="宋体" w:cs="宋体"/>
        </w:rPr>
        <w:t>违约责任与赔偿损失</w:t>
      </w:r>
    </w:p>
    <w:p>
      <w:pPr>
        <w:numPr>
          <w:ilvl w:val="0"/>
          <w:numId w:val="17"/>
        </w:numPr>
        <w:spacing w:line="360" w:lineRule="auto"/>
        <w:rPr>
          <w:rFonts w:ascii="宋体" w:hAnsi="宋体" w:cs="宋体"/>
          <w:szCs w:val="21"/>
        </w:rPr>
      </w:pPr>
      <w:r>
        <w:rPr>
          <w:rFonts w:hint="eastAsia" w:ascii="宋体" w:hAnsi="宋体" w:cs="宋体"/>
          <w:szCs w:val="21"/>
          <w:lang w:bidi="ar"/>
        </w:rPr>
        <w:t>承包人提供经监理或采购人单位审定的施工组织计划，如未按施工组织计划时限完成相应阶段工作，采购人视情况给予相应的处罚。责令整改时限，应在处罚通知书下发一周内完成规定时限的阶段性工作，否则从超期第一天起，每天罚没合同价格的1‱</w:t>
      </w:r>
    </w:p>
    <w:p>
      <w:pPr>
        <w:numPr>
          <w:ilvl w:val="0"/>
          <w:numId w:val="18"/>
        </w:numPr>
        <w:spacing w:line="360" w:lineRule="auto"/>
        <w:ind w:firstLine="420" w:firstLineChars="200"/>
        <w:rPr>
          <w:rFonts w:ascii="宋体" w:hAnsi="宋体" w:cs="宋体"/>
          <w:szCs w:val="21"/>
          <w:lang w:bidi="ar"/>
        </w:rPr>
      </w:pPr>
      <w:r>
        <w:rPr>
          <w:rFonts w:hint="eastAsia" w:ascii="宋体" w:hAnsi="宋体" w:cs="宋体"/>
          <w:szCs w:val="21"/>
          <w:lang w:bidi="ar"/>
        </w:rPr>
        <w:t>当整个施工期间扣罚比例累计超过合同价格的3%时，采购人有权终止合同并扣罚履约保证金，并要求承包人赔偿采购人的一切损失。若各阶段工期出现延误被扣罚合同款，而承包人最终仍能够确保在合同工期完成项目进度的情况，采购人将在项目验收时返还已被扣罚的款项。成交人交付的货物、服务不符合竞价文件、响应文件或合同规定的，采购人有权拒收，并且成交人须向采购人支付本项目合同总价5%以上的违约金。</w:t>
      </w:r>
    </w:p>
    <w:p>
      <w:pPr>
        <w:numPr>
          <w:ilvl w:val="0"/>
          <w:numId w:val="18"/>
        </w:numPr>
        <w:spacing w:line="360" w:lineRule="auto"/>
        <w:ind w:firstLine="420" w:firstLineChars="200"/>
        <w:rPr>
          <w:rFonts w:ascii="宋体" w:hAnsi="宋体" w:cs="宋体"/>
          <w:szCs w:val="21"/>
          <w:lang w:bidi="ar"/>
        </w:rPr>
      </w:pPr>
      <w:r>
        <w:rPr>
          <w:rFonts w:hint="eastAsia" w:ascii="宋体" w:hAnsi="宋体" w:cs="宋体"/>
          <w:szCs w:val="21"/>
          <w:lang w:bidi="ar"/>
        </w:rPr>
        <w:t>如承包人没有将工程款用于本工程，造成停工、窝工。采购人有权停付下一期工程进度款。承包人在采购人指正后如仍不改正，采购人有权单方面解除本项目合同，并要求承包人无条件无偿在采购人限期内退场，同时承包人应赔偿采购人损失。</w:t>
      </w:r>
    </w:p>
    <w:p>
      <w:pPr>
        <w:numPr>
          <w:ilvl w:val="0"/>
          <w:numId w:val="18"/>
        </w:numPr>
        <w:spacing w:line="360" w:lineRule="auto"/>
        <w:ind w:firstLine="420" w:firstLineChars="200"/>
        <w:rPr>
          <w:rFonts w:ascii="宋体" w:hAnsi="宋体" w:cs="宋体"/>
          <w:szCs w:val="21"/>
          <w:lang w:bidi="ar"/>
        </w:rPr>
      </w:pPr>
      <w:r>
        <w:rPr>
          <w:rFonts w:hint="eastAsia" w:ascii="宋体" w:hAnsi="宋体" w:cs="宋体"/>
          <w:szCs w:val="21"/>
          <w:lang w:bidi="ar"/>
        </w:rPr>
        <w:t>若发生承包人拖欠分包单位工程款或所属工人工资的情况，采购人有权在预先付给承包人的工程款中暂扣所拖欠的款项，直至承包人向其分包单位或所属工人付清应支付工程款为止。若发生此情况10天内，承包人仍未支付的，承包人在此承诺并同意采购人将所拖欠的款项直接支付给分包单位或所属工人，该代为支付的款项在工程结算款中扣除，承包人应采购人提供该款项的等额、有效的税务发票。</w:t>
      </w:r>
    </w:p>
    <w:p>
      <w:pPr>
        <w:numPr>
          <w:ilvl w:val="0"/>
          <w:numId w:val="17"/>
        </w:numPr>
        <w:spacing w:line="360" w:lineRule="auto"/>
        <w:rPr>
          <w:rFonts w:ascii="宋体" w:hAnsi="宋体" w:cs="宋体"/>
          <w:szCs w:val="21"/>
          <w:lang w:bidi="ar"/>
        </w:rPr>
      </w:pPr>
      <w:r>
        <w:rPr>
          <w:rFonts w:hint="eastAsia" w:ascii="宋体" w:hAnsi="宋体" w:cs="宋体"/>
          <w:szCs w:val="21"/>
          <w:lang w:bidi="ar"/>
        </w:rPr>
        <w:t>如因承包人原因发生工期延误情况，凡工期延误超过半年以上的，采购人将通告相关管理部门并录入不良行为记录，并对施工单位按《省属监狱工程施工企业不良行为记录的管理办法》（试行）进行处罚。</w:t>
      </w:r>
    </w:p>
    <w:p>
      <w:pPr>
        <w:numPr>
          <w:ilvl w:val="0"/>
          <w:numId w:val="17"/>
        </w:numPr>
        <w:spacing w:line="360" w:lineRule="auto"/>
        <w:rPr>
          <w:rFonts w:ascii="宋体" w:hAnsi="宋体" w:cs="宋体"/>
          <w:szCs w:val="21"/>
          <w:lang w:bidi="ar"/>
        </w:rPr>
      </w:pPr>
      <w:r>
        <w:rPr>
          <w:rFonts w:hint="eastAsia" w:ascii="宋体" w:hAnsi="宋体" w:cs="宋体"/>
          <w:szCs w:val="21"/>
          <w:lang w:bidi="ar"/>
        </w:rPr>
        <w:t>其它违约责任《中华人民共和国民法典》处理。</w:t>
      </w:r>
    </w:p>
    <w:p>
      <w:pPr>
        <w:pStyle w:val="3"/>
        <w:rPr>
          <w:rFonts w:ascii="宋体" w:hAnsi="宋体" w:cs="宋体"/>
        </w:rPr>
      </w:pPr>
      <w:r>
        <w:rPr>
          <w:rFonts w:hint="eastAsia" w:ascii="宋体" w:hAnsi="宋体" w:cs="宋体"/>
        </w:rPr>
        <w:t>争议的解决</w:t>
      </w:r>
    </w:p>
    <w:p>
      <w:pPr>
        <w:spacing w:line="360" w:lineRule="auto"/>
        <w:ind w:firstLine="420" w:firstLineChars="200"/>
        <w:rPr>
          <w:rFonts w:ascii="宋体" w:hAnsi="宋体" w:cs="宋体"/>
          <w:szCs w:val="21"/>
        </w:rPr>
      </w:pPr>
      <w:r>
        <w:rPr>
          <w:rFonts w:hint="eastAsia" w:ascii="宋体" w:hAnsi="宋体" w:cs="宋体"/>
          <w:szCs w:val="21"/>
          <w:lang w:bidi="ar"/>
        </w:rPr>
        <w:t>合同执行过程中发生的任何争议，如双方不能通过友好协商解决，承包人和采购人同意向采购人所在地人民法院提起诉讼。</w:t>
      </w:r>
    </w:p>
    <w:p>
      <w:pPr>
        <w:pStyle w:val="3"/>
        <w:rPr>
          <w:rFonts w:ascii="宋体" w:hAnsi="宋体" w:cs="宋体"/>
        </w:rPr>
      </w:pPr>
      <w:r>
        <w:rPr>
          <w:rFonts w:hint="eastAsia" w:ascii="宋体" w:hAnsi="宋体" w:cs="宋体"/>
        </w:rPr>
        <w:t>不可抗力</w:t>
      </w:r>
    </w:p>
    <w:p>
      <w:pPr>
        <w:spacing w:line="360" w:lineRule="auto"/>
        <w:ind w:firstLine="420" w:firstLineChars="200"/>
        <w:rPr>
          <w:rFonts w:ascii="宋体" w:hAnsi="宋体" w:cs="宋体"/>
          <w:szCs w:val="21"/>
        </w:rPr>
      </w:pPr>
      <w:r>
        <w:rPr>
          <w:rFonts w:hint="eastAsia" w:ascii="宋体" w:hAnsi="宋体" w:cs="宋体"/>
          <w:szCs w:val="21"/>
          <w:lang w:bidi="ar"/>
        </w:rPr>
        <w:t>因不可抗力原因致合同不能按期履行的，应及时（72小时内）向对方通报以减轻可能给对方造成的损失，在取得有关机构的不可抗力证明或双方谅解确认后，允许延期履行或修订合同，并根据情况可部分或全部免于承担违约责任。</w:t>
      </w:r>
    </w:p>
    <w:p>
      <w:pPr>
        <w:pStyle w:val="3"/>
        <w:rPr>
          <w:rFonts w:ascii="宋体" w:hAnsi="宋体" w:cs="宋体"/>
        </w:rPr>
      </w:pPr>
      <w:r>
        <w:rPr>
          <w:rFonts w:hint="eastAsia" w:ascii="宋体" w:hAnsi="宋体" w:cs="宋体"/>
        </w:rPr>
        <w:t>税费</w:t>
      </w:r>
    </w:p>
    <w:p>
      <w:pPr>
        <w:spacing w:line="360" w:lineRule="auto"/>
        <w:ind w:firstLine="420" w:firstLineChars="200"/>
        <w:rPr>
          <w:rFonts w:ascii="宋体" w:hAnsi="宋体" w:cs="宋体"/>
          <w:szCs w:val="21"/>
        </w:rPr>
      </w:pPr>
      <w:r>
        <w:rPr>
          <w:rFonts w:hint="eastAsia" w:ascii="宋体" w:hAnsi="宋体" w:cs="宋体"/>
          <w:szCs w:val="21"/>
          <w:lang w:bidi="ar"/>
        </w:rPr>
        <w:t>在中国境内、外发生的与本项目合同执行有关的一切税费均由承包人负担</w:t>
      </w:r>
    </w:p>
    <w:p>
      <w:pPr>
        <w:widowControl/>
        <w:jc w:val="left"/>
        <w:rPr>
          <w:rFonts w:ascii="宋体" w:hAnsi="宋体"/>
        </w:rPr>
      </w:pPr>
      <w:r>
        <w:rPr>
          <w:rFonts w:ascii="宋体" w:hAnsi="宋体"/>
        </w:rPr>
        <w:br w:type="page"/>
      </w:r>
    </w:p>
    <w:p>
      <w:pPr>
        <w:pStyle w:val="24"/>
        <w:spacing w:line="360" w:lineRule="auto"/>
        <w:rPr>
          <w:rFonts w:ascii="宋体" w:hAnsi="宋体"/>
        </w:rPr>
      </w:pPr>
      <w:r>
        <w:rPr>
          <w:rFonts w:hint="eastAsia" w:ascii="宋体" w:hAnsi="宋体"/>
        </w:rPr>
        <w:t>第三章 报价附件</w:t>
      </w:r>
    </w:p>
    <w:p>
      <w:pPr>
        <w:pStyle w:val="3"/>
        <w:numPr>
          <w:ilvl w:val="0"/>
          <w:numId w:val="0"/>
        </w:numPr>
        <w:jc w:val="center"/>
        <w:rPr>
          <w:rFonts w:ascii="宋体" w:hAnsi="宋体" w:cs="宋体"/>
          <w:sz w:val="32"/>
          <w:szCs w:val="32"/>
        </w:rPr>
      </w:pPr>
      <w:r>
        <w:rPr>
          <w:rFonts w:hint="eastAsia" w:ascii="宋体" w:hAnsi="宋体" w:cs="宋体"/>
          <w:sz w:val="32"/>
          <w:szCs w:val="32"/>
        </w:rPr>
        <w:t>报价表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29"/>
        <w:gridCol w:w="1136"/>
        <w:gridCol w:w="2414"/>
        <w:gridCol w:w="16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3229" w:type="dxa"/>
            <w:tcBorders>
              <w:top w:val="single" w:color="auto" w:sz="12" w:space="0"/>
              <w:left w:val="single" w:color="auto" w:sz="12" w:space="0"/>
              <w:bottom w:val="single" w:color="auto" w:sz="6" w:space="0"/>
              <w:right w:val="single" w:color="auto" w:sz="6" w:space="0"/>
            </w:tcBorders>
            <w:shd w:val="clear" w:color="auto" w:fill="auto"/>
            <w:vAlign w:val="center"/>
          </w:tcPr>
          <w:p>
            <w:pPr>
              <w:jc w:val="center"/>
              <w:rPr>
                <w:rFonts w:ascii="宋体" w:hAnsi="宋体" w:cs="宋体"/>
                <w:b/>
                <w:szCs w:val="21"/>
              </w:rPr>
            </w:pPr>
            <w:r>
              <w:rPr>
                <w:rFonts w:hint="eastAsia" w:ascii="宋体" w:hAnsi="宋体" w:cs="宋体"/>
                <w:b/>
                <w:szCs w:val="21"/>
                <w:lang w:bidi="ar"/>
              </w:rPr>
              <w:t>采购内容</w:t>
            </w:r>
          </w:p>
        </w:tc>
        <w:tc>
          <w:tcPr>
            <w:tcW w:w="1136" w:type="dxa"/>
            <w:tcBorders>
              <w:top w:val="single" w:color="auto" w:sz="12"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b/>
                <w:szCs w:val="21"/>
              </w:rPr>
            </w:pPr>
            <w:r>
              <w:rPr>
                <w:rFonts w:hint="eastAsia" w:ascii="宋体" w:hAnsi="宋体" w:cs="宋体"/>
                <w:b/>
                <w:szCs w:val="21"/>
                <w:lang w:bidi="ar"/>
              </w:rPr>
              <w:t>数量</w:t>
            </w:r>
          </w:p>
        </w:tc>
        <w:tc>
          <w:tcPr>
            <w:tcW w:w="2414" w:type="dxa"/>
            <w:tcBorders>
              <w:top w:val="single" w:color="auto" w:sz="12" w:space="0"/>
              <w:left w:val="single" w:color="auto" w:sz="6" w:space="0"/>
              <w:bottom w:val="single" w:color="auto" w:sz="6" w:space="0"/>
              <w:right w:val="single" w:color="auto" w:sz="6" w:space="0"/>
            </w:tcBorders>
            <w:shd w:val="clear" w:color="auto" w:fill="auto"/>
            <w:vAlign w:val="center"/>
          </w:tcPr>
          <w:p>
            <w:pPr>
              <w:jc w:val="center"/>
              <w:rPr>
                <w:rFonts w:ascii="宋体" w:hAnsi="宋体" w:cs="宋体"/>
                <w:b/>
                <w:szCs w:val="21"/>
              </w:rPr>
            </w:pPr>
            <w:r>
              <w:rPr>
                <w:rFonts w:hint="eastAsia" w:ascii="宋体" w:hAnsi="宋体" w:cs="宋体"/>
                <w:b/>
                <w:szCs w:val="21"/>
              </w:rPr>
              <w:t>报价金额（元）</w:t>
            </w:r>
          </w:p>
        </w:tc>
        <w:tc>
          <w:tcPr>
            <w:tcW w:w="1647" w:type="dxa"/>
            <w:tcBorders>
              <w:top w:val="single" w:color="auto" w:sz="12" w:space="0"/>
              <w:left w:val="single" w:color="auto" w:sz="6" w:space="0"/>
              <w:bottom w:val="single" w:color="auto" w:sz="6" w:space="0"/>
              <w:right w:val="single" w:color="auto" w:sz="12" w:space="0"/>
            </w:tcBorders>
            <w:shd w:val="clear" w:color="auto" w:fill="auto"/>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3229" w:type="dxa"/>
            <w:tcBorders>
              <w:top w:val="single" w:color="auto" w:sz="6" w:space="0"/>
              <w:left w:val="single" w:color="auto" w:sz="12" w:space="0"/>
              <w:bottom w:val="single" w:color="auto" w:sz="12" w:space="0"/>
              <w:right w:val="single" w:color="auto" w:sz="6" w:space="0"/>
            </w:tcBorders>
            <w:shd w:val="clear" w:color="auto" w:fill="auto"/>
            <w:vAlign w:val="center"/>
          </w:tcPr>
          <w:p>
            <w:pPr>
              <w:jc w:val="center"/>
              <w:rPr>
                <w:rFonts w:hint="eastAsia" w:ascii="宋体" w:hAnsi="宋体" w:eastAsia="宋体" w:cs="宋体"/>
                <w:szCs w:val="21"/>
                <w:lang w:eastAsia="zh-CN"/>
              </w:rPr>
            </w:pPr>
            <w:r>
              <w:rPr>
                <w:rFonts w:hint="eastAsia" w:ascii="宋体" w:hAnsi="宋体" w:cs="宋体"/>
                <w:szCs w:val="21"/>
                <w:lang w:eastAsia="zh-CN" w:bidi="ar"/>
              </w:rPr>
              <w:t>广东省广裕集团阳春实业有限公司生产区绿化带砌花基项目（第三次竞价）</w:t>
            </w:r>
          </w:p>
        </w:tc>
        <w:tc>
          <w:tcPr>
            <w:tcW w:w="1136" w:type="dxa"/>
            <w:tcBorders>
              <w:top w:val="single" w:color="auto" w:sz="6" w:space="0"/>
              <w:left w:val="single" w:color="auto" w:sz="6" w:space="0"/>
              <w:bottom w:val="single" w:color="auto" w:sz="12" w:space="0"/>
              <w:right w:val="single" w:color="auto" w:sz="6" w:space="0"/>
            </w:tcBorders>
            <w:shd w:val="clear" w:color="auto" w:fill="auto"/>
            <w:vAlign w:val="center"/>
          </w:tcPr>
          <w:p>
            <w:pPr>
              <w:jc w:val="center"/>
              <w:rPr>
                <w:rFonts w:ascii="宋体" w:hAnsi="宋体" w:cs="宋体"/>
                <w:szCs w:val="21"/>
              </w:rPr>
            </w:pPr>
            <w:r>
              <w:rPr>
                <w:rFonts w:hint="eastAsia" w:ascii="宋体" w:hAnsi="宋体" w:cs="宋体"/>
                <w:szCs w:val="21"/>
                <w:lang w:bidi="ar"/>
              </w:rPr>
              <w:t>1项</w:t>
            </w:r>
          </w:p>
        </w:tc>
        <w:tc>
          <w:tcPr>
            <w:tcW w:w="2414" w:type="dxa"/>
            <w:tcBorders>
              <w:top w:val="single" w:color="auto" w:sz="6" w:space="0"/>
              <w:left w:val="single" w:color="auto" w:sz="6" w:space="0"/>
              <w:bottom w:val="single" w:color="auto" w:sz="12" w:space="0"/>
              <w:right w:val="single" w:color="auto" w:sz="6" w:space="0"/>
            </w:tcBorders>
            <w:shd w:val="clear" w:color="auto" w:fill="auto"/>
            <w:vAlign w:val="center"/>
          </w:tcPr>
          <w:p>
            <w:pPr>
              <w:pStyle w:val="23"/>
              <w:keepNext/>
              <w:widowControl w:val="0"/>
              <w:adjustRightInd w:val="0"/>
              <w:spacing w:before="60" w:beforeAutospacing="0" w:after="60" w:afterAutospacing="0"/>
              <w:jc w:val="center"/>
              <w:rPr>
                <w:kern w:val="2"/>
                <w:sz w:val="21"/>
                <w:szCs w:val="21"/>
              </w:rPr>
            </w:pPr>
          </w:p>
        </w:tc>
        <w:tc>
          <w:tcPr>
            <w:tcW w:w="1647" w:type="dxa"/>
            <w:tcBorders>
              <w:top w:val="single" w:color="auto" w:sz="6" w:space="0"/>
              <w:left w:val="single" w:color="auto" w:sz="6" w:space="0"/>
              <w:bottom w:val="single" w:color="auto" w:sz="12" w:space="0"/>
              <w:right w:val="single" w:color="auto" w:sz="12" w:space="0"/>
            </w:tcBorders>
            <w:shd w:val="clear" w:color="auto" w:fill="auto"/>
            <w:vAlign w:val="center"/>
          </w:tcPr>
          <w:p>
            <w:pPr>
              <w:jc w:val="center"/>
              <w:rPr>
                <w:rFonts w:ascii="宋体" w:hAnsi="宋体" w:cs="宋体"/>
                <w:szCs w:val="21"/>
              </w:rPr>
            </w:pPr>
          </w:p>
        </w:tc>
      </w:tr>
    </w:tbl>
    <w:p>
      <w:pPr>
        <w:spacing w:line="360" w:lineRule="auto"/>
        <w:rPr>
          <w:rFonts w:ascii="宋体" w:hAnsi="宋体" w:cs="宋体"/>
          <w:szCs w:val="21"/>
          <w:lang w:bidi="ar"/>
        </w:rPr>
      </w:pPr>
      <w:r>
        <w:rPr>
          <w:rFonts w:hint="eastAsia" w:ascii="宋体" w:hAnsi="宋体" w:cs="宋体"/>
          <w:szCs w:val="21"/>
          <w:lang w:bidi="ar"/>
        </w:rPr>
        <w:t>本项目预算金额为人民币75746.60元，其中绿色施工安全防护措施费含税2154.53元为不可竞争费用。</w:t>
      </w:r>
    </w:p>
    <w:p>
      <w:pPr>
        <w:spacing w:line="360" w:lineRule="auto"/>
        <w:rPr>
          <w:rFonts w:ascii="宋体" w:hAnsi="宋体" w:cs="宋体"/>
          <w:b/>
          <w:bCs/>
          <w:szCs w:val="21"/>
          <w:lang w:bidi="ar"/>
        </w:rPr>
      </w:pPr>
      <w:r>
        <w:rPr>
          <w:rFonts w:hint="eastAsia" w:ascii="宋体" w:hAnsi="宋体" w:cs="宋体"/>
          <w:b/>
          <w:bCs/>
          <w:szCs w:val="21"/>
          <w:lang w:bidi="ar"/>
        </w:rPr>
        <w:t>注：</w:t>
      </w:r>
    </w:p>
    <w:p>
      <w:pPr>
        <w:pStyle w:val="54"/>
        <w:numPr>
          <w:ilvl w:val="0"/>
          <w:numId w:val="19"/>
        </w:numPr>
        <w:spacing w:line="360" w:lineRule="auto"/>
        <w:ind w:firstLineChars="0"/>
        <w:rPr>
          <w:rFonts w:ascii="宋体" w:hAnsi="宋体"/>
          <w:bCs/>
        </w:rPr>
      </w:pPr>
      <w:r>
        <w:rPr>
          <w:rFonts w:hint="eastAsia" w:ascii="宋体" w:hAnsi="宋体"/>
          <w:bCs/>
        </w:rPr>
        <w:t>供应商必须按报价表的格式填写，不得增加或删除表格内容。除单价、金额或项目要求填写的内容外，不得擅自改动报价表内容，否则影响成交结果，不推荐为成交候选人。</w:t>
      </w:r>
    </w:p>
    <w:p>
      <w:pPr>
        <w:pStyle w:val="54"/>
        <w:numPr>
          <w:ilvl w:val="0"/>
          <w:numId w:val="19"/>
        </w:numPr>
        <w:spacing w:line="360" w:lineRule="auto"/>
        <w:ind w:firstLineChars="0"/>
        <w:rPr>
          <w:rFonts w:ascii="宋体" w:hAnsi="宋体"/>
          <w:b/>
          <w:bCs/>
        </w:rPr>
      </w:pPr>
      <w:r>
        <w:rPr>
          <w:rFonts w:hint="eastAsia" w:ascii="宋体" w:hAnsi="宋体"/>
          <w:b/>
          <w:bCs/>
        </w:rPr>
        <w:t>所有价格均系用人民币表示，单位为元，均为含税价。</w:t>
      </w:r>
    </w:p>
    <w:p>
      <w:pPr>
        <w:pStyle w:val="54"/>
        <w:numPr>
          <w:ilvl w:val="0"/>
          <w:numId w:val="19"/>
        </w:numPr>
        <w:spacing w:line="360" w:lineRule="auto"/>
        <w:ind w:firstLineChars="0"/>
        <w:rPr>
          <w:rFonts w:ascii="宋体" w:hAnsi="宋体"/>
          <w:bCs/>
        </w:rPr>
      </w:pPr>
      <w:r>
        <w:rPr>
          <w:rFonts w:hint="eastAsia" w:ascii="宋体" w:hAnsi="宋体"/>
          <w:bCs/>
        </w:rPr>
        <w:t>平台上报价与报价表合计不一致的，以报价表合计（经价格核准后的价格）为准。</w:t>
      </w:r>
    </w:p>
    <w:p>
      <w:pPr>
        <w:widowControl/>
        <w:numPr>
          <w:ilvl w:val="0"/>
          <w:numId w:val="19"/>
        </w:numPr>
        <w:spacing w:line="360" w:lineRule="auto"/>
        <w:jc w:val="left"/>
        <w:rPr>
          <w:rFonts w:ascii="宋体" w:hAnsi="宋体" w:cs="宋体"/>
          <w:color w:val="000000"/>
          <w:kern w:val="0"/>
          <w:szCs w:val="21"/>
        </w:rPr>
      </w:pPr>
      <w:r>
        <w:rPr>
          <w:rFonts w:hint="eastAsia" w:ascii="宋体" w:hAnsi="宋体" w:cs="宋体"/>
          <w:color w:val="000000"/>
          <w:kern w:val="0"/>
          <w:szCs w:val="21"/>
        </w:rPr>
        <w:t>报价表必须加盖单位公章，否则视为无效报价。</w:t>
      </w:r>
    </w:p>
    <w:p>
      <w:pPr>
        <w:widowControl/>
        <w:spacing w:line="360" w:lineRule="auto"/>
        <w:jc w:val="left"/>
        <w:rPr>
          <w:rFonts w:ascii="宋体" w:hAnsi="宋体" w:cs="宋体"/>
          <w:color w:val="000000"/>
          <w:kern w:val="0"/>
          <w:szCs w:val="21"/>
        </w:rPr>
      </w:pPr>
    </w:p>
    <w:p>
      <w:pPr>
        <w:spacing w:line="360" w:lineRule="auto"/>
        <w:ind w:firstLine="420"/>
        <w:rPr>
          <w:rFonts w:ascii="宋体" w:hAnsi="宋体"/>
          <w:u w:val="single"/>
        </w:rPr>
      </w:pPr>
      <w:r>
        <w:rPr>
          <w:rFonts w:hint="eastAsia" w:ascii="宋体" w:hAnsi="宋体"/>
        </w:rPr>
        <w:t>供应商名称（单位盖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pPr>
        <w:spacing w:line="360" w:lineRule="auto"/>
        <w:ind w:firstLine="420" w:firstLineChars="200"/>
        <w:rPr>
          <w:rFonts w:ascii="宋体" w:hAnsi="宋体"/>
          <w:lang w:val="zh-CN"/>
        </w:rPr>
      </w:pPr>
      <w:r>
        <w:rPr>
          <w:rFonts w:hint="eastAsia" w:ascii="宋体" w:hAnsi="宋体"/>
        </w:rPr>
        <w:t>日期：</w:t>
      </w:r>
      <w:r>
        <w:rPr>
          <w:rFonts w:hint="eastAsia" w:ascii="宋体" w:hAnsi="宋体"/>
          <w:u w:val="single"/>
        </w:rPr>
        <w:t xml:space="preserve">                          </w:t>
      </w:r>
      <w:r>
        <w:rPr>
          <w:rFonts w:ascii="宋体" w:hAnsi="宋体"/>
          <w:b/>
          <w:bCs/>
          <w:sz w:val="32"/>
          <w:szCs w:val="32"/>
        </w:rPr>
        <w:t xml:space="preserve"> </w:t>
      </w:r>
      <w:r>
        <w:rPr>
          <w:rFonts w:ascii="宋体" w:hAnsi="宋体"/>
        </w:rPr>
        <w:br w:type="page"/>
      </w:r>
    </w:p>
    <w:p>
      <w:pPr>
        <w:pStyle w:val="3"/>
        <w:numPr>
          <w:ilvl w:val="0"/>
          <w:numId w:val="0"/>
        </w:numPr>
        <w:jc w:val="center"/>
        <w:rPr>
          <w:rFonts w:ascii="宋体" w:hAnsi="宋体" w:cs="宋体"/>
          <w:sz w:val="32"/>
          <w:szCs w:val="32"/>
        </w:rPr>
      </w:pPr>
      <w:r>
        <w:rPr>
          <w:rFonts w:hint="eastAsia" w:ascii="宋体" w:hAnsi="宋体" w:cs="宋体"/>
          <w:sz w:val="32"/>
          <w:szCs w:val="32"/>
        </w:rPr>
        <w:t>供应商资格声明函</w:t>
      </w:r>
    </w:p>
    <w:p>
      <w:pPr>
        <w:spacing w:line="360" w:lineRule="auto"/>
        <w:rPr>
          <w:rFonts w:hint="eastAsia" w:ascii="宋体" w:hAnsi="宋体" w:eastAsia="宋体"/>
          <w:szCs w:val="21"/>
          <w:lang w:eastAsia="zh-CN"/>
        </w:rPr>
      </w:pPr>
      <w:r>
        <w:rPr>
          <w:rFonts w:hint="eastAsia" w:ascii="宋体" w:hAnsi="宋体"/>
          <w:b/>
          <w:szCs w:val="21"/>
        </w:rPr>
        <w:t>项目名称：</w:t>
      </w:r>
      <w:r>
        <w:rPr>
          <w:rFonts w:hint="eastAsia" w:ascii="宋体" w:hAnsi="宋体"/>
          <w:szCs w:val="21"/>
          <w:lang w:eastAsia="zh-CN"/>
        </w:rPr>
        <w:t>广东省广裕集团阳春实业有限公司生产区绿化带砌花基项目（第三次竞价）</w:t>
      </w:r>
    </w:p>
    <w:p>
      <w:pPr>
        <w:spacing w:line="360" w:lineRule="auto"/>
        <w:rPr>
          <w:rFonts w:ascii="宋体" w:hAnsi="宋体"/>
          <w:szCs w:val="21"/>
        </w:rPr>
      </w:pPr>
      <w:r>
        <w:rPr>
          <w:rFonts w:hint="eastAsia" w:ascii="宋体" w:hAnsi="宋体"/>
          <w:b/>
          <w:szCs w:val="21"/>
        </w:rPr>
        <w:t>致：</w:t>
      </w:r>
      <w:r>
        <w:rPr>
          <w:rFonts w:hint="eastAsia" w:ascii="宋体" w:hAnsi="宋体"/>
          <w:b/>
          <w:bCs/>
          <w:szCs w:val="21"/>
        </w:rPr>
        <w:t>广东省广裕集团阳春实业有限公司</w:t>
      </w:r>
      <w:r>
        <w:rPr>
          <w:rFonts w:hint="eastAsia" w:ascii="宋体" w:hAnsi="宋体"/>
          <w:b/>
          <w:szCs w:val="21"/>
        </w:rPr>
        <w:t>、</w:t>
      </w:r>
      <w:r>
        <w:rPr>
          <w:rFonts w:ascii="宋体" w:hAnsi="宋体"/>
          <w:b/>
          <w:szCs w:val="21"/>
        </w:rPr>
        <w:t>云采链（广州）信息科技有限公司</w:t>
      </w:r>
      <w:r>
        <w:rPr>
          <w:rFonts w:hint="eastAsia" w:ascii="宋体" w:hAnsi="宋体"/>
          <w:b/>
          <w:szCs w:val="21"/>
        </w:rPr>
        <w:t>：</w:t>
      </w:r>
    </w:p>
    <w:p>
      <w:pPr>
        <w:snapToGrid w:val="0"/>
        <w:spacing w:line="360" w:lineRule="auto"/>
        <w:ind w:firstLine="424" w:firstLineChars="202"/>
        <w:rPr>
          <w:rFonts w:ascii="宋体" w:hAnsi="宋体"/>
          <w:szCs w:val="21"/>
        </w:rPr>
      </w:pPr>
    </w:p>
    <w:p>
      <w:pPr>
        <w:snapToGrid w:val="0"/>
        <w:spacing w:line="360" w:lineRule="auto"/>
        <w:ind w:firstLine="424" w:firstLineChars="202"/>
        <w:rPr>
          <w:rFonts w:ascii="宋体" w:hAnsi="宋体"/>
        </w:rPr>
      </w:pPr>
      <w:r>
        <w:rPr>
          <w:rFonts w:hint="eastAsia" w:ascii="宋体" w:hAnsi="宋体"/>
          <w:szCs w:val="21"/>
        </w:rPr>
        <w:t>关于贵单位、贵司</w:t>
      </w:r>
      <w:r>
        <w:rPr>
          <w:rFonts w:hint="eastAsia" w:ascii="宋体" w:hAnsi="宋体"/>
        </w:rPr>
        <w:t>发布</w:t>
      </w:r>
      <w:r>
        <w:rPr>
          <w:rFonts w:hint="eastAsia" w:ascii="宋体" w:hAnsi="宋体"/>
          <w:b/>
          <w:szCs w:val="21"/>
          <w:u w:val="single"/>
          <w:lang w:eastAsia="zh-CN"/>
        </w:rPr>
        <w:t>广东省广裕集团阳春实业有限公司生产区绿化带砌花基项目（第三次竞价）</w:t>
      </w:r>
      <w:r>
        <w:rPr>
          <w:rFonts w:hint="eastAsia" w:ascii="宋体" w:hAnsi="宋体"/>
        </w:rPr>
        <w:t>的采购公告，本公司（企业）愿意参加竞价，并声明：</w:t>
      </w:r>
    </w:p>
    <w:p>
      <w:pPr>
        <w:snapToGrid w:val="0"/>
        <w:spacing w:line="360" w:lineRule="auto"/>
        <w:ind w:firstLine="420" w:firstLineChars="200"/>
        <w:rPr>
          <w:rFonts w:ascii="宋体" w:hAnsi="宋体"/>
          <w:bCs/>
          <w:szCs w:val="20"/>
        </w:rPr>
      </w:pPr>
      <w:r>
        <w:rPr>
          <w:rFonts w:hint="eastAsia" w:ascii="宋体" w:hAnsi="宋体"/>
        </w:rPr>
        <w:t>一、本公司（企业）</w:t>
      </w:r>
      <w:r>
        <w:rPr>
          <w:rFonts w:hint="eastAsia" w:ascii="宋体" w:hAnsi="宋体"/>
          <w:bCs/>
          <w:szCs w:val="20"/>
        </w:rPr>
        <w:t>具备</w:t>
      </w:r>
      <w:r>
        <w:rPr>
          <w:rFonts w:hint="eastAsia" w:ascii="宋体" w:hAnsi="宋体" w:cs="宋体"/>
          <w:color w:val="000000"/>
          <w:szCs w:val="21"/>
        </w:rPr>
        <w:t>《国有企业采购管理办法》第十一条</w:t>
      </w:r>
      <w:r>
        <w:rPr>
          <w:rFonts w:hint="eastAsia" w:ascii="宋体" w:hAnsi="宋体"/>
          <w:bCs/>
          <w:szCs w:val="20"/>
        </w:rPr>
        <w:t>规定的条件：</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（一）具有独立承担民事责任的能力；</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 xml:space="preserve">（二）具有良好的商业信誉和健全的财务会计制度（自然人须拥有良好的财务状况）； </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（三）具有履行合同所必需的设备和专业技术能力；</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（四）有依法缴纳税收的良好记录；</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（五）参加政府采购活动前三年内，在经营活动中没有重大违法记录；</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（六）法律、行政法规规定的其他条件。</w:t>
      </w:r>
    </w:p>
    <w:p>
      <w:pPr>
        <w:snapToGrid w:val="0"/>
        <w:spacing w:line="360" w:lineRule="auto"/>
        <w:ind w:firstLine="424" w:firstLineChars="202"/>
        <w:rPr>
          <w:rFonts w:ascii="宋体" w:hAnsi="宋体"/>
        </w:rPr>
      </w:pPr>
      <w:r>
        <w:rPr>
          <w:rFonts w:hint="eastAsia" w:ascii="宋体" w:hAnsi="宋体"/>
        </w:rPr>
        <w:t>二、本公司（企业）具有本次采购项目服务能力，拥有对公账号。</w:t>
      </w:r>
    </w:p>
    <w:p>
      <w:pPr>
        <w:snapToGrid w:val="0"/>
        <w:spacing w:line="360" w:lineRule="auto"/>
        <w:ind w:firstLine="424" w:firstLineChars="202"/>
        <w:rPr>
          <w:rFonts w:ascii="宋体" w:hAnsi="宋体"/>
        </w:rPr>
      </w:pPr>
      <w:r>
        <w:rPr>
          <w:rFonts w:hint="eastAsia" w:ascii="宋体" w:hAnsi="宋体"/>
        </w:rPr>
        <w:t>三、本公司（企业）有固定的经营场所，信誉良好、售后维护服务好，并且在经营活动中无严重违法记录。</w:t>
      </w:r>
    </w:p>
    <w:p>
      <w:pPr>
        <w:snapToGrid w:val="0"/>
        <w:spacing w:line="360" w:lineRule="auto"/>
        <w:ind w:firstLine="424" w:firstLineChars="202"/>
        <w:rPr>
          <w:rFonts w:ascii="宋体" w:hAnsi="宋体"/>
        </w:rPr>
      </w:pPr>
      <w:r>
        <w:rPr>
          <w:rFonts w:hint="eastAsia" w:ascii="宋体" w:hAnsi="宋体"/>
        </w:rPr>
        <w:t>四、本公司（企业）</w:t>
      </w:r>
      <w:r>
        <w:rPr>
          <w:rFonts w:ascii="宋体" w:hAnsi="宋体"/>
        </w:rPr>
        <w:t>在本项目中不转包分包且不联合竞价。</w:t>
      </w:r>
    </w:p>
    <w:p>
      <w:pPr>
        <w:pStyle w:val="61"/>
        <w:spacing w:line="360" w:lineRule="auto"/>
        <w:ind w:firstLine="435"/>
        <w:rPr>
          <w:rFonts w:ascii="宋体" w:hAnsi="宋体" w:cs="仿宋_GB2312"/>
          <w:szCs w:val="21"/>
        </w:rPr>
      </w:pPr>
      <w:r>
        <w:rPr>
          <w:rFonts w:hint="eastAsia" w:ascii="宋体" w:hAnsi="宋体"/>
        </w:rPr>
        <w:t>五、</w:t>
      </w:r>
      <w:r>
        <w:rPr>
          <w:rFonts w:hint="eastAsia" w:ascii="宋体" w:hAnsi="宋体" w:cs="仿宋_GB2312"/>
          <w:szCs w:val="21"/>
        </w:rPr>
        <w:t>本公司</w:t>
      </w:r>
      <w:r>
        <w:rPr>
          <w:rFonts w:hint="eastAsia" w:ascii="宋体" w:hAnsi="宋体"/>
        </w:rPr>
        <w:t>（企业）</w:t>
      </w:r>
      <w:r>
        <w:rPr>
          <w:rFonts w:hint="eastAsia" w:ascii="宋体" w:hAnsi="宋体" w:cs="仿宋_GB2312"/>
          <w:szCs w:val="21"/>
        </w:rPr>
        <w:t>的股东、实际控制人及管理人员均不属于广东省阳春监狱所属警察职工的配偶、子女及其配偶。</w:t>
      </w:r>
    </w:p>
    <w:p>
      <w:pPr>
        <w:pStyle w:val="61"/>
        <w:spacing w:line="360" w:lineRule="auto"/>
        <w:ind w:firstLine="435"/>
        <w:rPr>
          <w:rFonts w:ascii="宋体" w:hAnsi="宋体" w:cs="仿宋_GB2312"/>
          <w:szCs w:val="21"/>
        </w:rPr>
      </w:pPr>
      <w:r>
        <w:rPr>
          <w:rFonts w:hint="eastAsia" w:ascii="宋体" w:hAnsi="宋体" w:cs="仿宋_GB2312"/>
          <w:szCs w:val="21"/>
        </w:rPr>
        <w:t>六、</w:t>
      </w:r>
      <w:r>
        <w:rPr>
          <w:rFonts w:hint="eastAsia" w:ascii="宋体" w:hAnsi="宋体"/>
          <w:szCs w:val="21"/>
        </w:rPr>
        <w:t>为本采购项目提供整体设计、规范编制或者项目管理、监理、检测等服务的，不得再参加本项目的其他竞价采购活动。</w:t>
      </w:r>
    </w:p>
    <w:p>
      <w:pPr>
        <w:snapToGrid w:val="0"/>
        <w:spacing w:line="360" w:lineRule="auto"/>
        <w:ind w:firstLine="424" w:firstLineChars="202"/>
        <w:rPr>
          <w:rFonts w:ascii="宋体" w:hAnsi="宋体"/>
        </w:rPr>
      </w:pPr>
      <w:r>
        <w:rPr>
          <w:rFonts w:hint="eastAsia" w:ascii="宋体" w:hAnsi="宋体"/>
        </w:rPr>
        <w:t>本公司（企业）承诺在本次采购活动中，如有违法、违规</w:t>
      </w:r>
      <w:r>
        <w:rPr>
          <w:rFonts w:hint="eastAsia" w:ascii="宋体" w:hAnsi="宋体"/>
          <w:szCs w:val="21"/>
        </w:rPr>
        <w:t>、</w:t>
      </w:r>
      <w:r>
        <w:rPr>
          <w:rFonts w:hint="eastAsia" w:ascii="宋体" w:hAnsi="宋体"/>
        </w:rPr>
        <w:t>弄虚作假行为，所造成的损失、不良后果及法律责任，一律由我公司（企业）承担。</w:t>
      </w:r>
    </w:p>
    <w:p>
      <w:pPr>
        <w:spacing w:line="360" w:lineRule="auto"/>
        <w:ind w:firstLine="420"/>
        <w:rPr>
          <w:rFonts w:ascii="宋体" w:hAnsi="宋体"/>
        </w:rPr>
      </w:pPr>
      <w:r>
        <w:rPr>
          <w:rFonts w:hint="eastAsia" w:ascii="宋体" w:hAnsi="宋体"/>
        </w:rPr>
        <w:t>特此声明！</w:t>
      </w:r>
    </w:p>
    <w:p>
      <w:pPr>
        <w:autoSpaceDE w:val="0"/>
        <w:autoSpaceDN w:val="0"/>
        <w:adjustRightInd w:val="0"/>
        <w:spacing w:line="360" w:lineRule="auto"/>
        <w:ind w:firstLine="413" w:firstLineChars="196"/>
        <w:rPr>
          <w:rFonts w:ascii="宋体" w:hAnsi="宋体"/>
          <w:b/>
        </w:rPr>
      </w:pPr>
      <w:r>
        <w:rPr>
          <w:rFonts w:hint="eastAsia" w:ascii="宋体" w:hAnsi="宋体"/>
          <w:b/>
        </w:rPr>
        <w:t>备注：</w:t>
      </w:r>
    </w:p>
    <w:p>
      <w:pPr>
        <w:pStyle w:val="54"/>
        <w:numPr>
          <w:ilvl w:val="0"/>
          <w:numId w:val="20"/>
        </w:numPr>
        <w:autoSpaceDE w:val="0"/>
        <w:autoSpaceDN w:val="0"/>
        <w:adjustRightInd w:val="0"/>
        <w:spacing w:line="360" w:lineRule="auto"/>
        <w:ind w:left="840" w:firstLineChars="0"/>
        <w:rPr>
          <w:rFonts w:ascii="宋体" w:hAnsi="宋体"/>
        </w:rPr>
      </w:pPr>
      <w:r>
        <w:rPr>
          <w:rFonts w:hint="eastAsia" w:ascii="宋体" w:hAnsi="宋体"/>
        </w:rPr>
        <w:t>本声明函必须提供且内容不得擅自删改，否则视为响应无效。</w:t>
      </w:r>
    </w:p>
    <w:p>
      <w:pPr>
        <w:pStyle w:val="54"/>
        <w:numPr>
          <w:ilvl w:val="0"/>
          <w:numId w:val="20"/>
        </w:numPr>
        <w:snapToGrid w:val="0"/>
        <w:spacing w:line="360" w:lineRule="auto"/>
        <w:ind w:left="840" w:firstLineChars="0"/>
        <w:rPr>
          <w:rFonts w:ascii="宋体" w:hAnsi="宋体"/>
          <w:szCs w:val="21"/>
        </w:rPr>
      </w:pPr>
      <w:r>
        <w:rPr>
          <w:rFonts w:hint="eastAsia" w:ascii="宋体" w:hAnsi="宋体"/>
          <w:szCs w:val="21"/>
        </w:rPr>
        <w:t>本声明函如有虚假或与事实不符的，作无效报价处理。</w:t>
      </w:r>
    </w:p>
    <w:p>
      <w:pPr>
        <w:tabs>
          <w:tab w:val="left" w:pos="426"/>
        </w:tabs>
        <w:adjustRightInd w:val="0"/>
        <w:snapToGrid w:val="0"/>
        <w:spacing w:line="360" w:lineRule="auto"/>
        <w:rPr>
          <w:rFonts w:ascii="宋体" w:hAnsi="宋体"/>
          <w:bCs/>
          <w:szCs w:val="20"/>
        </w:rPr>
      </w:pPr>
    </w:p>
    <w:p>
      <w:pPr>
        <w:spacing w:line="360" w:lineRule="auto"/>
        <w:ind w:firstLine="420"/>
        <w:rPr>
          <w:rFonts w:ascii="宋体" w:hAnsi="宋体"/>
          <w:u w:val="single"/>
        </w:rPr>
      </w:pPr>
      <w:r>
        <w:rPr>
          <w:rFonts w:hint="eastAsia" w:ascii="宋体" w:hAnsi="宋体"/>
        </w:rPr>
        <w:t>供应商名称（单位盖</w:t>
      </w:r>
      <w:r>
        <w:rPr>
          <w:rFonts w:hint="eastAsia" w:ascii="宋体" w:hAnsi="宋体"/>
          <w:spacing w:val="4"/>
        </w:rPr>
        <w:t>公章</w:t>
      </w:r>
      <w:r>
        <w:rPr>
          <w:rFonts w:hint="eastAsia" w:ascii="宋体" w:hAnsi="宋体"/>
        </w:rPr>
        <w:t>）：</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日期：</w:t>
      </w:r>
      <w:r>
        <w:rPr>
          <w:rFonts w:hint="eastAsia" w:ascii="宋体" w:hAnsi="宋体"/>
          <w:u w:val="single"/>
        </w:rPr>
        <w:t xml:space="preserve">                          </w:t>
      </w:r>
    </w:p>
    <w:p>
      <w:pPr>
        <w:pStyle w:val="3"/>
        <w:numPr>
          <w:ilvl w:val="0"/>
          <w:numId w:val="0"/>
        </w:numPr>
        <w:jc w:val="center"/>
        <w:rPr>
          <w:rFonts w:ascii="宋体" w:hAnsi="宋体"/>
        </w:rPr>
      </w:pPr>
      <w:r>
        <w:rPr>
          <w:rFonts w:ascii="宋体" w:hAnsi="宋体"/>
        </w:rPr>
        <w:br w:type="page"/>
      </w:r>
      <w:r>
        <w:rPr>
          <w:rFonts w:hint="eastAsia" w:ascii="宋体" w:hAnsi="宋体" w:cs="宋体"/>
          <w:sz w:val="32"/>
          <w:szCs w:val="32"/>
        </w:rPr>
        <w:t>用户需求书响应声明函</w:t>
      </w:r>
    </w:p>
    <w:p>
      <w:pPr>
        <w:spacing w:line="360" w:lineRule="auto"/>
        <w:rPr>
          <w:rFonts w:hint="eastAsia" w:ascii="宋体" w:hAnsi="宋体" w:eastAsia="宋体"/>
          <w:szCs w:val="21"/>
          <w:lang w:eastAsia="zh-CN"/>
        </w:rPr>
      </w:pPr>
      <w:r>
        <w:rPr>
          <w:rFonts w:hint="eastAsia" w:ascii="宋体" w:hAnsi="宋体"/>
          <w:b/>
          <w:szCs w:val="21"/>
        </w:rPr>
        <w:t>项目名称：</w:t>
      </w:r>
      <w:r>
        <w:rPr>
          <w:rFonts w:hint="eastAsia" w:ascii="宋体" w:hAnsi="宋体"/>
          <w:szCs w:val="21"/>
          <w:lang w:eastAsia="zh-CN"/>
        </w:rPr>
        <w:t>广东省广裕集团阳春实业有限公司生产区绿化带砌花基项目（第三次竞价）</w:t>
      </w:r>
    </w:p>
    <w:p>
      <w:pPr>
        <w:spacing w:line="360" w:lineRule="auto"/>
        <w:rPr>
          <w:rFonts w:ascii="宋体" w:hAnsi="宋体"/>
          <w:b/>
          <w:szCs w:val="21"/>
        </w:rPr>
      </w:pPr>
      <w:r>
        <w:rPr>
          <w:rFonts w:hint="eastAsia" w:ascii="宋体" w:hAnsi="宋体"/>
          <w:b/>
          <w:szCs w:val="21"/>
        </w:rPr>
        <w:t>致：</w:t>
      </w:r>
      <w:bookmarkStart w:id="0" w:name="_Hlk73018904"/>
      <w:r>
        <w:rPr>
          <w:rFonts w:hint="eastAsia" w:ascii="宋体" w:hAnsi="宋体"/>
          <w:b/>
          <w:bCs/>
          <w:szCs w:val="21"/>
        </w:rPr>
        <w:t>广东省广裕集团阳春实业有限公司</w:t>
      </w:r>
      <w:r>
        <w:rPr>
          <w:rFonts w:hint="eastAsia" w:ascii="宋体" w:hAnsi="宋体"/>
          <w:b/>
          <w:szCs w:val="21"/>
        </w:rPr>
        <w:t>、</w:t>
      </w:r>
      <w:r>
        <w:rPr>
          <w:rFonts w:ascii="宋体" w:hAnsi="宋体"/>
          <w:b/>
          <w:szCs w:val="21"/>
        </w:rPr>
        <w:t>云采链（广州）信息科技有限公司</w:t>
      </w:r>
      <w:bookmarkEnd w:id="0"/>
      <w:r>
        <w:rPr>
          <w:rFonts w:hint="eastAsia" w:ascii="宋体" w:hAnsi="宋体"/>
          <w:b/>
          <w:szCs w:val="21"/>
        </w:rPr>
        <w:t>：</w:t>
      </w:r>
    </w:p>
    <w:p>
      <w:pPr>
        <w:spacing w:line="360" w:lineRule="auto"/>
        <w:rPr>
          <w:rFonts w:ascii="宋体" w:hAnsi="宋体"/>
          <w:szCs w:val="21"/>
        </w:rPr>
      </w:pPr>
    </w:p>
    <w:p>
      <w:pPr>
        <w:spacing w:line="360" w:lineRule="auto"/>
        <w:ind w:firstLine="525" w:firstLineChars="250"/>
        <w:rPr>
          <w:rFonts w:ascii="宋体" w:hAnsi="宋体"/>
          <w:szCs w:val="21"/>
        </w:rPr>
      </w:pPr>
      <w:r>
        <w:rPr>
          <w:rFonts w:hint="eastAsia" w:ascii="宋体" w:hAnsi="宋体"/>
          <w:szCs w:val="21"/>
        </w:rPr>
        <w:t>关于</w:t>
      </w:r>
      <w:bookmarkStart w:id="1" w:name="_Hlk74674106"/>
      <w:r>
        <w:rPr>
          <w:rFonts w:hint="eastAsia" w:ascii="宋体" w:hAnsi="宋体"/>
          <w:szCs w:val="21"/>
        </w:rPr>
        <w:t>贵单位、贵公司</w:t>
      </w:r>
      <w:bookmarkEnd w:id="1"/>
      <w:r>
        <w:rPr>
          <w:rFonts w:hint="eastAsia" w:ascii="宋体" w:hAnsi="宋体"/>
          <w:szCs w:val="21"/>
        </w:rPr>
        <w:t>发布</w:t>
      </w:r>
      <w:r>
        <w:rPr>
          <w:rFonts w:hint="eastAsia" w:ascii="宋体" w:hAnsi="宋体"/>
          <w:b/>
          <w:szCs w:val="21"/>
          <w:u w:val="single"/>
          <w:lang w:eastAsia="zh-CN"/>
        </w:rPr>
        <w:t>广东省广裕集团阳春实业有限公司生产区绿化带砌花基项目（第三次竞价）</w:t>
      </w:r>
      <w:r>
        <w:rPr>
          <w:rFonts w:hint="eastAsia" w:ascii="宋体" w:hAnsi="宋体"/>
          <w:szCs w:val="21"/>
        </w:rPr>
        <w:t>的竞价公告，本公司（企业）愿意参加采购活动，并作出如下声明：</w:t>
      </w:r>
    </w:p>
    <w:p>
      <w:pPr>
        <w:pStyle w:val="41"/>
        <w:tabs>
          <w:tab w:val="left" w:pos="426"/>
        </w:tabs>
        <w:snapToGrid w:val="0"/>
        <w:spacing w:line="360" w:lineRule="auto"/>
        <w:ind w:firstLine="510" w:firstLineChars="243"/>
        <w:rPr>
          <w:rFonts w:ascii="宋体" w:hAnsi="宋体"/>
          <w:szCs w:val="21"/>
        </w:rPr>
      </w:pPr>
      <w:r>
        <w:rPr>
          <w:rFonts w:hint="eastAsia" w:ascii="宋体" w:hAnsi="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1"/>
        <w:tabs>
          <w:tab w:val="left" w:pos="426"/>
        </w:tabs>
        <w:snapToGrid w:val="0"/>
        <w:spacing w:line="360" w:lineRule="auto"/>
        <w:ind w:firstLine="510" w:firstLineChars="243"/>
        <w:rPr>
          <w:rFonts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b/>
          <w:szCs w:val="21"/>
        </w:rPr>
      </w:pPr>
      <w:r>
        <w:rPr>
          <w:rFonts w:hint="eastAsia" w:ascii="宋体" w:hAnsi="宋体"/>
          <w:b/>
          <w:szCs w:val="21"/>
        </w:rPr>
        <w:t>备注：</w:t>
      </w:r>
    </w:p>
    <w:p>
      <w:pPr>
        <w:pStyle w:val="54"/>
        <w:numPr>
          <w:ilvl w:val="0"/>
          <w:numId w:val="21"/>
        </w:numPr>
        <w:autoSpaceDE w:val="0"/>
        <w:autoSpaceDN w:val="0"/>
        <w:adjustRightInd w:val="0"/>
        <w:spacing w:line="360" w:lineRule="auto"/>
        <w:ind w:firstLineChars="0"/>
        <w:rPr>
          <w:rFonts w:ascii="宋体" w:hAnsi="宋体"/>
          <w:szCs w:val="21"/>
        </w:rPr>
      </w:pPr>
      <w:r>
        <w:rPr>
          <w:rFonts w:hint="eastAsia" w:ascii="宋体" w:hAnsi="宋体"/>
          <w:szCs w:val="21"/>
        </w:rPr>
        <w:t>本声明函必须提供且内容不得擅自删改，否则视为响应无效。</w:t>
      </w:r>
    </w:p>
    <w:p>
      <w:pPr>
        <w:pStyle w:val="54"/>
        <w:numPr>
          <w:ilvl w:val="0"/>
          <w:numId w:val="21"/>
        </w:numPr>
        <w:snapToGrid w:val="0"/>
        <w:spacing w:line="360" w:lineRule="auto"/>
        <w:ind w:firstLineChars="0"/>
        <w:rPr>
          <w:rFonts w:ascii="宋体" w:hAnsi="宋体"/>
          <w:szCs w:val="21"/>
        </w:rPr>
      </w:pPr>
      <w:r>
        <w:rPr>
          <w:rFonts w:hint="eastAsia" w:ascii="宋体" w:hAnsi="宋体"/>
          <w:szCs w:val="21"/>
        </w:rPr>
        <w:t>本声明函如有虚假或与事实不符的，作无效报价处理。</w:t>
      </w:r>
    </w:p>
    <w:p>
      <w:pPr>
        <w:pStyle w:val="41"/>
        <w:tabs>
          <w:tab w:val="left" w:pos="426"/>
        </w:tabs>
        <w:snapToGrid w:val="0"/>
        <w:spacing w:line="360" w:lineRule="auto"/>
        <w:ind w:firstLine="200" w:firstLineChars="0"/>
        <w:rPr>
          <w:rFonts w:ascii="宋体" w:hAnsi="宋体" w:cs="宋体"/>
          <w:szCs w:val="21"/>
        </w:rPr>
      </w:pPr>
    </w:p>
    <w:p>
      <w:pPr>
        <w:widowControl/>
        <w:spacing w:line="360" w:lineRule="auto"/>
        <w:jc w:val="left"/>
        <w:rPr>
          <w:rFonts w:ascii="宋体" w:hAnsi="宋体"/>
          <w:b/>
          <w:bCs/>
          <w:kern w:val="0"/>
          <w:szCs w:val="21"/>
        </w:rPr>
      </w:pPr>
    </w:p>
    <w:p>
      <w:pPr>
        <w:spacing w:line="360" w:lineRule="auto"/>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hint="eastAsia" w:ascii="宋体" w:hAnsi="宋体"/>
          <w:spacing w:val="4"/>
          <w:szCs w:val="21"/>
          <w:u w:val="single"/>
        </w:rPr>
        <w:t xml:space="preserve">          </w:t>
      </w:r>
    </w:p>
    <w:p>
      <w:pPr>
        <w:spacing w:line="360" w:lineRule="auto"/>
        <w:ind w:firstLine="105" w:firstLineChars="50"/>
        <w:jc w:val="right"/>
        <w:rPr>
          <w:rFonts w:ascii="宋体" w:hAnsi="宋体"/>
          <w:szCs w:val="21"/>
          <w:u w:val="single"/>
        </w:rPr>
      </w:pPr>
    </w:p>
    <w:p>
      <w:pPr>
        <w:spacing w:line="360" w:lineRule="auto"/>
        <w:jc w:val="right"/>
        <w:rPr>
          <w:rFonts w:ascii="宋体" w:hAnsi="宋体"/>
          <w:szCs w:val="21"/>
          <w:u w:val="single"/>
        </w:rPr>
      </w:pPr>
      <w:r>
        <w:rPr>
          <w:rFonts w:hint="eastAsia" w:ascii="宋体" w:hAnsi="宋体"/>
          <w:spacing w:val="4"/>
          <w:szCs w:val="21"/>
        </w:rPr>
        <w:t>日期：</w:t>
      </w:r>
      <w:r>
        <w:rPr>
          <w:rFonts w:hint="eastAsia" w:ascii="宋体" w:hAnsi="宋体"/>
          <w:spacing w:val="4"/>
          <w:szCs w:val="21"/>
          <w:u w:val="single"/>
        </w:rPr>
        <w:t xml:space="preserve">          </w:t>
      </w:r>
      <w:r>
        <w:rPr>
          <w:rFonts w:hint="eastAsia" w:ascii="宋体" w:hAnsi="宋体"/>
          <w:szCs w:val="21"/>
          <w:u w:val="single"/>
        </w:rPr>
        <w:t xml:space="preserve"> </w:t>
      </w:r>
    </w:p>
    <w:p>
      <w:pPr>
        <w:spacing w:line="360" w:lineRule="auto"/>
        <w:ind w:firstLine="210" w:firstLineChars="100"/>
        <w:rPr>
          <w:rFonts w:ascii="宋体" w:hAnsi="宋体"/>
          <w:szCs w:val="21"/>
          <w:u w:val="single"/>
        </w:rPr>
      </w:pPr>
    </w:p>
    <w:p>
      <w:pPr>
        <w:widowControl/>
        <w:spacing w:line="360" w:lineRule="auto"/>
        <w:jc w:val="left"/>
        <w:rPr>
          <w:rFonts w:ascii="宋体" w:hAnsi="宋体"/>
        </w:rPr>
      </w:pPr>
      <w:r>
        <w:rPr>
          <w:rFonts w:ascii="宋体" w:hAnsi="宋体"/>
        </w:rPr>
        <w:br w:type="page"/>
      </w:r>
    </w:p>
    <w:p>
      <w:pPr>
        <w:pStyle w:val="3"/>
        <w:numPr>
          <w:ilvl w:val="0"/>
          <w:numId w:val="0"/>
        </w:numPr>
        <w:jc w:val="center"/>
        <w:rPr>
          <w:rFonts w:ascii="宋体" w:hAnsi="宋体" w:cs="宋体"/>
          <w:sz w:val="32"/>
          <w:szCs w:val="32"/>
        </w:rPr>
      </w:pPr>
      <w:r>
        <w:rPr>
          <w:rFonts w:hint="eastAsia" w:ascii="宋体" w:hAnsi="宋体" w:cs="宋体"/>
          <w:sz w:val="32"/>
          <w:szCs w:val="32"/>
        </w:rPr>
        <w:t>法定代表人授权委托书</w:t>
      </w:r>
    </w:p>
    <w:p>
      <w:pPr>
        <w:pStyle w:val="16"/>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 xml:space="preserve"> （供应商地址）  </w:t>
      </w:r>
      <w:r>
        <w:rPr>
          <w:rFonts w:hint="eastAsia" w:hAnsi="宋体"/>
          <w:sz w:val="21"/>
        </w:rPr>
        <w:t>的</w:t>
      </w:r>
      <w:r>
        <w:rPr>
          <w:rFonts w:hint="eastAsia" w:hAnsi="宋体"/>
          <w:sz w:val="21"/>
          <w:u w:val="single"/>
        </w:rPr>
        <w:t xml:space="preserve">  （供应商名称）    </w:t>
      </w:r>
      <w:r>
        <w:rPr>
          <w:rFonts w:hint="eastAsia" w:hAnsi="宋体"/>
          <w:sz w:val="21"/>
        </w:rPr>
        <w:t>在下面签名的</w:t>
      </w:r>
      <w:r>
        <w:rPr>
          <w:rFonts w:hint="eastAsia" w:hAnsi="宋体"/>
          <w:sz w:val="21"/>
          <w:u w:val="single"/>
        </w:rPr>
        <w:t>（法定代表人姓名、职务）</w:t>
      </w:r>
      <w:r>
        <w:rPr>
          <w:rFonts w:hint="eastAsia" w:hAnsi="宋体"/>
          <w:sz w:val="21"/>
        </w:rPr>
        <w:t>在此授权本公司</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 xml:space="preserve"> </w:t>
      </w:r>
      <w:r>
        <w:rPr>
          <w:rFonts w:hint="eastAsia" w:hAnsi="宋体"/>
          <w:b/>
          <w:sz w:val="21"/>
          <w:u w:val="single"/>
          <w:lang w:eastAsia="zh-CN"/>
        </w:rPr>
        <w:t>广东省广裕集团阳春实业有限公司生产区绿化带砌花基项目（第三次竞价）</w:t>
      </w:r>
      <w:r>
        <w:rPr>
          <w:rFonts w:hint="eastAsia" w:hAnsi="宋体"/>
          <w:b/>
          <w:bCs/>
          <w:sz w:val="21"/>
          <w:u w:val="single"/>
        </w:rPr>
        <w:t xml:space="preserve"> </w:t>
      </w:r>
      <w:r>
        <w:rPr>
          <w:rFonts w:hint="eastAsia" w:hAnsi="宋体"/>
          <w:sz w:val="21"/>
        </w:rPr>
        <w:t>的竞价采购活动，采购合同的签订、执行、完成和售后服务，作为供应商代表以我方的名义处理一切与之有关的事务。</w:t>
      </w:r>
    </w:p>
    <w:p>
      <w:pPr>
        <w:pStyle w:val="16"/>
        <w:spacing w:line="360" w:lineRule="auto"/>
        <w:ind w:firstLine="420" w:firstLineChars="200"/>
        <w:rPr>
          <w:rFonts w:hAnsi="宋体"/>
          <w:sz w:val="21"/>
        </w:rPr>
      </w:pPr>
      <w:r>
        <w:rPr>
          <w:rFonts w:hint="eastAsia" w:hAnsi="宋体"/>
          <w:sz w:val="21"/>
        </w:rPr>
        <w:t>被授权人（供应商授权代表）无转委托权限。</w:t>
      </w:r>
    </w:p>
    <w:p>
      <w:pPr>
        <w:spacing w:line="360" w:lineRule="auto"/>
        <w:ind w:firstLine="420" w:firstLineChars="200"/>
        <w:rPr>
          <w:rFonts w:ascii="宋体" w:hAnsi="宋体"/>
          <w:szCs w:val="21"/>
        </w:rPr>
      </w:pPr>
      <w:r>
        <w:rPr>
          <w:rFonts w:hint="eastAsia" w:ascii="宋体" w:hAnsi="宋体"/>
          <w:szCs w:val="21"/>
        </w:rPr>
        <w:t>本授权书自法定代表人签字之日起生效，特此声明。</w:t>
      </w:r>
    </w:p>
    <w:p>
      <w:pPr>
        <w:spacing w:line="360" w:lineRule="auto"/>
        <w:rPr>
          <w:rFonts w:ascii="宋体" w:hAnsi="宋体"/>
          <w:b/>
          <w:szCs w:val="21"/>
        </w:rPr>
      </w:pPr>
      <w:r>
        <w:rPr>
          <w:rFonts w:hint="eastAsia" w:ascii="宋体" w:hAnsi="宋体"/>
          <w:b/>
          <w:szCs w:val="21"/>
        </w:rPr>
        <w:t>随附1、《法定代表人证明书》；</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供应商名称（盖公章）：</w:t>
      </w:r>
    </w:p>
    <w:p>
      <w:pPr>
        <w:spacing w:line="360" w:lineRule="auto"/>
        <w:rPr>
          <w:rFonts w:ascii="宋体" w:hAnsi="宋体"/>
          <w:szCs w:val="21"/>
        </w:rPr>
      </w:pPr>
      <w:r>
        <w:rPr>
          <w:rFonts w:hint="eastAsia" w:ascii="宋体" w:hAnsi="宋体"/>
          <w:szCs w:val="21"/>
        </w:rPr>
        <w:t>地      址：</w:t>
      </w:r>
    </w:p>
    <w:p>
      <w:pPr>
        <w:tabs>
          <w:tab w:val="left" w:pos="3780"/>
        </w:tabs>
        <w:spacing w:line="360" w:lineRule="auto"/>
        <w:rPr>
          <w:rFonts w:ascii="宋体" w:hAnsi="宋体"/>
          <w:szCs w:val="21"/>
        </w:rPr>
      </w:pPr>
      <w:r>
        <w:rPr>
          <w:rFonts w:hint="eastAsia" w:ascii="宋体" w:hAnsi="宋体"/>
          <w:szCs w:val="21"/>
        </w:rPr>
        <w:t>法定代表人（签字或盖章）：                         签字日期：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Cs w:val="21"/>
        </w:rPr>
      </w:pPr>
      <w:r>
        <w:rPr>
          <w:rFonts w:ascii="宋体" w:hAnsi="宋体"/>
          <w:szCs w:val="21"/>
        </w:rPr>
        <mc:AlternateContent>
          <mc:Choice Requires="wpg">
            <w:drawing>
              <wp:anchor distT="0" distB="0" distL="114300" distR="114300" simplePos="0" relativeHeight="251659264" behindDoc="0" locked="0" layoutInCell="1" allowOverlap="1">
                <wp:simplePos x="0" y="0"/>
                <wp:positionH relativeFrom="column">
                  <wp:posOffset>-74930</wp:posOffset>
                </wp:positionH>
                <wp:positionV relativeFrom="paragraph">
                  <wp:posOffset>152400</wp:posOffset>
                </wp:positionV>
                <wp:extent cx="5037455" cy="1289050"/>
                <wp:effectExtent l="5080" t="5080" r="12065" b="13970"/>
                <wp:wrapNone/>
                <wp:docPr id="5" name="组合 1026"/>
                <wp:cNvGraphicFramePr/>
                <a:graphic xmlns:a="http://schemas.openxmlformats.org/drawingml/2006/main">
                  <a:graphicData uri="http://schemas.microsoft.com/office/word/2010/wordprocessingGroup">
                    <wpg:wgp>
                      <wpg:cNvGrpSpPr/>
                      <wpg:grpSpPr>
                        <a:xfrm>
                          <a:off x="0" y="0"/>
                          <a:ext cx="5037455" cy="1289050"/>
                          <a:chOff x="1080" y="8670"/>
                          <a:chExt cx="8900" cy="2509"/>
                        </a:xfrm>
                        <a:effectLst/>
                      </wpg:grpSpPr>
                      <wps:wsp>
                        <wps:cNvPr id="6" name="矩形 1027"/>
                        <wps:cNvSpPr>
                          <a:spLocks noChangeArrowheads="1"/>
                        </wps:cNvSpPr>
                        <wps:spPr bwMode="auto">
                          <a:xfrm>
                            <a:off x="1080" y="8670"/>
                            <a:ext cx="4218" cy="2509"/>
                          </a:xfrm>
                          <a:prstGeom prst="rect">
                            <a:avLst/>
                          </a:prstGeom>
                          <a:solidFill>
                            <a:srgbClr val="FFFFFF"/>
                          </a:solidFill>
                          <a:ln w="9525">
                            <a:solidFill>
                              <a:srgbClr val="000000"/>
                            </a:solidFill>
                            <a:miter lim="200000"/>
                          </a:ln>
                          <a:effectLst/>
                        </wps:spPr>
                        <wps:txbx>
                          <w:txbxContent>
                            <w:p>
                              <w:pPr>
                                <w:jc w:val="center"/>
                              </w:pPr>
                              <w:r>
                                <w:rPr>
                                  <w:rFonts w:hint="eastAsia"/>
                                </w:rPr>
                                <w:t>身份证（正面）</w:t>
                              </w:r>
                            </w:p>
                          </w:txbxContent>
                        </wps:txbx>
                        <wps:bodyPr rot="0" vert="horz" wrap="square" lIns="91440" tIns="45720" rIns="91440" bIns="45720" anchor="t" anchorCtr="0" upright="1">
                          <a:noAutofit/>
                        </wps:bodyPr>
                      </wps:wsp>
                      <wps:wsp>
                        <wps:cNvPr id="7" name="矩形 1028"/>
                        <wps:cNvSpPr>
                          <a:spLocks noChangeArrowheads="1"/>
                        </wps:cNvSpPr>
                        <wps:spPr bwMode="auto">
                          <a:xfrm>
                            <a:off x="5761" y="8670"/>
                            <a:ext cx="4219" cy="2509"/>
                          </a:xfrm>
                          <a:prstGeom prst="rect">
                            <a:avLst/>
                          </a:prstGeom>
                          <a:solidFill>
                            <a:srgbClr val="FFFFFF"/>
                          </a:solidFill>
                          <a:ln w="9525">
                            <a:solidFill>
                              <a:srgbClr val="000000"/>
                            </a:solidFill>
                            <a:miter lim="200000"/>
                          </a:ln>
                          <a:effectLst/>
                        </wps:spPr>
                        <wps:txbx>
                          <w:txbxContent>
                            <w:p>
                              <w:pPr>
                                <w:jc w:val="center"/>
                              </w:pPr>
                              <w:r>
                                <w:rPr>
                                  <w:rFonts w:hint="eastAsia"/>
                                </w:rPr>
                                <w:t>身份证（反面）</w:t>
                              </w:r>
                            </w:p>
                            <w:p/>
                          </w:txbxContent>
                        </wps:txbx>
                        <wps:bodyPr rot="0" vert="horz" wrap="square" lIns="91440" tIns="45720" rIns="91440" bIns="45720" anchor="t" anchorCtr="0" upright="1">
                          <a:noAutofit/>
                        </wps:bodyPr>
                      </wps:wsp>
                    </wpg:wgp>
                  </a:graphicData>
                </a:graphic>
              </wp:anchor>
            </w:drawing>
          </mc:Choice>
          <mc:Fallback>
            <w:pict>
              <v:group id="组合 1026" o:spid="_x0000_s1026" o:spt="203" style="position:absolute;left:0pt;margin-left:-5.9pt;margin-top:12pt;height:101.5pt;width:396.65pt;z-index:251659264;mso-width-relative:page;mso-height-relative:page;" coordorigin="1080,8670" coordsize="8900,2509" o:gfxdata="UEsDBAoAAAAAAIdO4kAAAAAAAAAAAAAAAAAEAAAAZHJzL1BLAwQUAAAACACHTuJAVfKHLdoAAAAK&#10;AQAADwAAAGRycy9kb3ducmV2LnhtbE2PwW7CMBBE75X6D9Yi9QaO01JQiIMq1PaEKgGVqt5MvCQR&#10;8TqKTQJ/3+2pPc7OaPZNvr66VgzYh8aTBjVLQCCV3jZUafg8vE2XIEI0ZE3rCTXcMMC6uL/LTWb9&#10;SDsc9rESXEIhMxrqGLtMylDW6EyY+Q6JvZPvnYks+0ra3oxc7lqZJsmzdKYh/lCbDjc1luf9xWl4&#10;H8348qheh+35tLl9H+YfX1uFWj9MVLICEfEa/8Lwi8/oUDDT0V/IBtFqmCrF6FFD+sSbOLBYqjmI&#10;Ix/SRQKyyOX/CcUPUEsDBBQAAAAIAIdO4kCRrSAL0wIAAHwIAAAOAAAAZHJzL2Uyb0RvYy54bWzt&#10;Vs1u1DAQviPxDpbvND9s9idqtqpaWiEVqFR4AK/jJBaObWzvZsuZA0feAIkbz4B4nIrXYOyk22Vb&#10;pAoEEhI5ZD0e+/PMN58nu3+wbgVaMWO5kgVO9mKMmKSq5LIu8KuXJ4+mGFlHZEmEkqzAl8zig/nD&#10;B/udzlmqGiVKZhCASJt3usCNczqPIksb1hK7pzST4KyUaYkD09RRaUgH6K2I0jgeR50ypTaKMmth&#10;9rh34gHR3AdQVRWn7FjRZcuk61ENE8RBSrbh2uJ5iLaqGHUvqsoyh0SBIVMX3nAIjBf+Hc33SV4b&#10;ohtOhxDIfULYyaklXMKhG6hj4ghaGn4LquXUKKsqt0dVG/WJBEYgiyTe4ebUqKUOudR5V+sN6VCo&#10;HdZ/GZY+X50bxMsCZxhJ0kLBv315d/XhPUridOzp6XSdw6pToy/0uRkm6t7yGa8r0/pfyAWtA7GX&#10;G2LZ2iEKk1n8eDLK4AQKviSdzuJsoJ42UB+/L4mnUBNwT8eTje/JsB82gNNvTrN45qOKbg5mocxn&#10;1vlpH+0muE6DRO0Nb/b3eLtoiGahHNYzMvA23vD28fPV10+et0nPW1jlSfP0WH2m6GuLpDpqiKzZ&#10;oTGqaxgpIagkZOSjBdh+gzcsbEWL7pkqoSpk6VRQ2A7fd/B2zfooTeAu/4Q1baw7ZapFflBgAzcl&#10;wJPVwCTJr5eE8JXg5QkXIhimXhwJg1YEbtVJeIaa2O1lQqKuwLMszQLyDz67DRGH5y6IljtoNoK3&#10;UPntRUL6OHYq3zPmFWtzt16sg1ZtvlDlJRBpVH/5ofXBoFHmLUYdXPwC2zdLYhhG4qmEYsyS0ch3&#10;imCMskkKhtn2LLY9RFKAKrDDqB8eub67LLXhdQMnJSF5qQ6hgBUfRHodVVBsEGkf9h9X6+S2Wqd/&#10;Ua3ZZJzs3PIttc7+q/WfUWvotPBRCq14+ID6r962HdR986dh/h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V8oct2gAAAAoBAAAPAAAAAAAAAAEAIAAAACIAAABkcnMvZG93bnJldi54bWxQSwECFAAU&#10;AAAACACHTuJAka0gC9MCAAB8CAAADgAAAAAAAAABACAAAAApAQAAZHJzL2Uyb0RvYy54bWxQSwUG&#10;AAAAAAYABgBZAQAAbgYAAAAA&#10;">
                <o:lock v:ext="edit" aspectratio="f"/>
                <v:rect id="矩形 1027" o:spid="_x0000_s1026" o:spt="1" style="position:absolute;left:1080;top:8670;height:2509;width:4218;" fillcolor="#FFFFFF" filled="t" stroked="t" coordsize="21600,21600" o:gfxdata="UEsDBAoAAAAAAIdO4kAAAAAAAAAAAAAAAAAEAAAAZHJzL1BLAwQUAAAACACHTuJAaELxYbsAAADa&#10;AAAADwAAAGRycy9kb3ducmV2LnhtbEWPQWsCMRSE74L/ITyhN03Wg8jWKLSlUIqsuIrnx+Z1N3Tz&#10;Ejap2n9vBMHjMDPfMKvN1fXiTEO0njUUMwWCuPHGcqvhePicLkHEhGyw90wa/inCZj0erbA0/sJ7&#10;OtepFRnCsUQNXUqhlDI2HTmMMx+Is/fjB4cpy6GVZsBLhrtezpVaSIeW80KHgd47an7rP6fhFFgV&#10;2yqkqv6e77ZvO3v6qKzWL5NCvYJIdE3P8KP9ZTQs4H4l3wC5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LxYbsAAADa&#10;AAAADwAAAAAAAAABACAAAAAiAAAAZHJzL2Rvd25yZXYueG1sUEsBAhQAFAAAAAgAh07iQDMvBZ47&#10;AAAAOQAAABAAAAAAAAAAAQAgAAAACgEAAGRycy9zaGFwZXhtbC54bWxQSwUGAAAAAAYABgBbAQAA&#10;tAMAAAAA&#10;">
                  <v:fill on="t" focussize="0,0"/>
                  <v:stroke color="#000000" miterlimit="2" joinstyle="miter"/>
                  <v:imagedata o:title=""/>
                  <o:lock v:ext="edit" aspectratio="f"/>
                  <v:textbox>
                    <w:txbxContent>
                      <w:p>
                        <w:pPr>
                          <w:jc w:val="center"/>
                        </w:pPr>
                        <w:r>
                          <w:rPr>
                            <w:rFonts w:hint="eastAsia"/>
                          </w:rPr>
                          <w:t>身份证（正面）</w:t>
                        </w:r>
                      </w:p>
                    </w:txbxContent>
                  </v:textbox>
                </v:rect>
                <v:rect id="矩形 1028" o:spid="_x0000_s1026" o:spt="1" style="position:absolute;left:5761;top:8670;height:2509;width:4219;" fillcolor="#FFFFFF" filled="t" stroked="t" coordsize="21600,21600" o:gfxdata="UEsDBAoAAAAAAIdO4kAAAAAAAAAAAAAAAAAEAAAAZHJzL1BLAwQUAAAACACHTuJABw5U+rwAAADa&#10;AAAADwAAAGRycy9kb3ducmV2LnhtbEWPQWsCMRSE7wX/Q3hCb91kPdSyGgWVQimy0m3x/Ng8d4Ob&#10;l7BJ1f77Rij0OMzMN8xyfXODuNAYrWcNZaFAELfeWO40fH2+Pr2AiAnZ4OCZNPxQhPVq8rDEyvgr&#10;f9ClSZ3IEI4VauhTCpWUse3JYSx8IM7eyY8OU5ZjJ82I1wx3g5wp9SwdWs4LPQba9tSem2+n4RhY&#10;lfs6pLp5nx32m4M97mqr9eO0VAsQiW7pP/zXfjMa5nC/km+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OVPq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pStyle w:val="3"/>
        <w:numPr>
          <w:ilvl w:val="0"/>
          <w:numId w:val="0"/>
        </w:numPr>
        <w:jc w:val="center"/>
        <w:rPr>
          <w:rFonts w:ascii="宋体" w:hAnsi="宋体"/>
        </w:rPr>
      </w:pPr>
      <w:r>
        <w:rPr>
          <w:rFonts w:ascii="宋体" w:hAnsi="宋体"/>
        </w:rPr>
        <w:br w:type="page"/>
      </w:r>
      <w:r>
        <w:rPr>
          <w:rFonts w:hint="eastAsia" w:ascii="宋体" w:hAnsi="宋体" w:cs="宋体"/>
          <w:sz w:val="32"/>
          <w:szCs w:val="32"/>
        </w:rPr>
        <w:t>法定代表人证明书</w:t>
      </w:r>
    </w:p>
    <w:p>
      <w:pPr>
        <w:tabs>
          <w:tab w:val="left" w:pos="900"/>
        </w:tabs>
        <w:spacing w:line="360" w:lineRule="auto"/>
        <w:ind w:firstLine="945" w:firstLineChars="450"/>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spacing w:line="360" w:lineRule="auto"/>
        <w:ind w:firstLine="420" w:firstLineChars="200"/>
        <w:rPr>
          <w:rFonts w:ascii="宋体" w:hAnsi="宋体"/>
          <w:szCs w:val="21"/>
        </w:rPr>
      </w:pPr>
      <w:r>
        <w:rPr>
          <w:rFonts w:hint="eastAsia" w:ascii="宋体" w:hAnsi="宋体"/>
          <w:szCs w:val="21"/>
        </w:rPr>
        <w:t>本证明书自签发之日起生效，有效期与本公司参与竞价的文件中标注的有效期相同。</w:t>
      </w:r>
    </w:p>
    <w:p>
      <w:pPr>
        <w:spacing w:line="360" w:lineRule="auto"/>
        <w:ind w:firstLine="420" w:firstLineChars="200"/>
        <w:rPr>
          <w:rFonts w:ascii="宋体" w:hAnsi="宋体"/>
          <w:szCs w:val="21"/>
        </w:rPr>
      </w:pPr>
      <w:r>
        <w:rPr>
          <w:rFonts w:hint="eastAsia" w:ascii="宋体" w:hAnsi="宋体"/>
          <w:szCs w:val="21"/>
        </w:rPr>
        <w:t>附：</w:t>
      </w:r>
    </w:p>
    <w:p>
      <w:pPr>
        <w:spacing w:line="360" w:lineRule="auto"/>
        <w:ind w:firstLine="840" w:firstLineChars="400"/>
        <w:rPr>
          <w:rFonts w:ascii="宋体" w:hAnsi="宋体"/>
          <w:szCs w:val="21"/>
        </w:rPr>
      </w:pPr>
      <w:r>
        <w:rPr>
          <w:rFonts w:hint="eastAsia" w:ascii="宋体" w:hAnsi="宋体"/>
          <w:szCs w:val="21"/>
        </w:rPr>
        <w:t xml:space="preserve">营业执照（注册号）：                       </w:t>
      </w:r>
    </w:p>
    <w:p>
      <w:pPr>
        <w:spacing w:line="360" w:lineRule="auto"/>
        <w:ind w:firstLine="840" w:firstLineChars="400"/>
        <w:rPr>
          <w:rFonts w:ascii="宋体" w:hAnsi="宋体"/>
          <w:szCs w:val="21"/>
        </w:rPr>
      </w:pPr>
      <w:r>
        <w:rPr>
          <w:rFonts w:hint="eastAsia" w:ascii="宋体" w:hAnsi="宋体"/>
          <w:szCs w:val="21"/>
        </w:rPr>
        <w:t>经济性质：</w:t>
      </w:r>
    </w:p>
    <w:p>
      <w:pPr>
        <w:spacing w:line="360" w:lineRule="auto"/>
        <w:ind w:firstLine="840" w:firstLineChars="400"/>
        <w:rPr>
          <w:rFonts w:ascii="宋体" w:hAnsi="宋体"/>
          <w:szCs w:val="21"/>
        </w:rPr>
      </w:pPr>
      <w:r>
        <w:rPr>
          <w:rFonts w:hint="eastAsia" w:ascii="宋体" w:hAnsi="宋体"/>
          <w:szCs w:val="21"/>
        </w:rPr>
        <w:t>主营（产）：</w:t>
      </w:r>
    </w:p>
    <w:p>
      <w:pPr>
        <w:spacing w:line="360" w:lineRule="auto"/>
        <w:ind w:firstLine="840" w:firstLineChars="400"/>
        <w:rPr>
          <w:rFonts w:ascii="宋体" w:hAnsi="宋体"/>
          <w:szCs w:val="21"/>
        </w:rPr>
      </w:pPr>
      <w:r>
        <w:rPr>
          <w:rFonts w:hint="eastAsia" w:ascii="宋体" w:hAnsi="宋体"/>
          <w:szCs w:val="21"/>
        </w:rPr>
        <w:t>兼营（产）：</w:t>
      </w:r>
    </w:p>
    <w:p>
      <w:pPr>
        <w:spacing w:line="360" w:lineRule="auto"/>
        <w:ind w:firstLine="840" w:firstLineChars="400"/>
        <w:rPr>
          <w:rFonts w:ascii="宋体" w:hAnsi="宋体"/>
          <w:szCs w:val="21"/>
        </w:rPr>
      </w:pPr>
      <w:r>
        <w:rPr>
          <w:rFonts w:ascii="宋体" w:hAnsi="宋体"/>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4968240" cy="1452880"/>
                <wp:effectExtent l="4445" t="4445" r="5715" b="15875"/>
                <wp:wrapNone/>
                <wp:docPr id="2" name="组合 1029"/>
                <wp:cNvGraphicFramePr/>
                <a:graphic xmlns:a="http://schemas.openxmlformats.org/drawingml/2006/main">
                  <a:graphicData uri="http://schemas.microsoft.com/office/word/2010/wordprocessingGroup">
                    <wpg:wgp>
                      <wpg:cNvGrpSpPr/>
                      <wpg:grpSpPr>
                        <a:xfrm>
                          <a:off x="0" y="0"/>
                          <a:ext cx="4968240" cy="1452880"/>
                          <a:chOff x="1146" y="7566"/>
                          <a:chExt cx="8717" cy="2609"/>
                        </a:xfrm>
                        <a:effectLst/>
                      </wpg:grpSpPr>
                      <wps:wsp>
                        <wps:cNvPr id="3" name="矩形 1030"/>
                        <wps:cNvSpPr>
                          <a:spLocks noChangeArrowheads="1"/>
                        </wps:cNvSpPr>
                        <wps:spPr bwMode="auto">
                          <a:xfrm>
                            <a:off x="1146" y="7566"/>
                            <a:ext cx="4166" cy="2609"/>
                          </a:xfrm>
                          <a:prstGeom prst="rect">
                            <a:avLst/>
                          </a:prstGeom>
                          <a:solidFill>
                            <a:srgbClr val="FFFFFF"/>
                          </a:solidFill>
                          <a:ln w="9525">
                            <a:solidFill>
                              <a:srgbClr val="000000"/>
                            </a:solidFill>
                            <a:miter lim="200000"/>
                          </a:ln>
                          <a:effectLst/>
                        </wps:spPr>
                        <wps:txbx>
                          <w:txbxContent>
                            <w:p>
                              <w:pPr>
                                <w:jc w:val="center"/>
                              </w:pPr>
                              <w:r>
                                <w:rPr>
                                  <w:rFonts w:hint="eastAsia"/>
                                </w:rPr>
                                <w:t>身份证（正面）</w:t>
                              </w:r>
                            </w:p>
                            <w:p>
                              <w:pPr>
                                <w:ind w:firstLine="1050" w:firstLineChars="500"/>
                              </w:pPr>
                            </w:p>
                          </w:txbxContent>
                        </wps:txbx>
                        <wps:bodyPr rot="0" vert="horz" wrap="square" lIns="91440" tIns="45720" rIns="91440" bIns="45720" anchor="t" anchorCtr="0" upright="1">
                          <a:noAutofit/>
                        </wps:bodyPr>
                      </wps:wsp>
                      <wps:wsp>
                        <wps:cNvPr id="4" name="矩形 1031"/>
                        <wps:cNvSpPr>
                          <a:spLocks noChangeArrowheads="1"/>
                        </wps:cNvSpPr>
                        <wps:spPr bwMode="auto">
                          <a:xfrm>
                            <a:off x="5719" y="7566"/>
                            <a:ext cx="4144" cy="2609"/>
                          </a:xfrm>
                          <a:prstGeom prst="rect">
                            <a:avLst/>
                          </a:prstGeom>
                          <a:solidFill>
                            <a:srgbClr val="FFFFFF"/>
                          </a:solidFill>
                          <a:ln w="9525">
                            <a:solidFill>
                              <a:srgbClr val="000000"/>
                            </a:solidFill>
                            <a:miter lim="200000"/>
                          </a:ln>
                          <a:effectLst/>
                        </wps:spPr>
                        <wps:txbx>
                          <w:txbxContent>
                            <w:p>
                              <w:pPr>
                                <w:jc w:val="center"/>
                              </w:pPr>
                              <w:r>
                                <w:rPr>
                                  <w:rFonts w:hint="eastAsia"/>
                                </w:rPr>
                                <w:t>身份证（反面）</w:t>
                              </w:r>
                            </w:p>
                            <w:p>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组合 1029" o:spid="_x0000_s1026" o:spt="203" style="position:absolute;left:0pt;margin-left:3.3pt;margin-top:19.2pt;height:114.4pt;width:391.2pt;z-index:251660288;mso-width-relative:page;mso-height-relative:page;" coordorigin="1146,7566" coordsize="8717,2609" o:gfxdata="UEsDBAoAAAAAAIdO4kAAAAAAAAAAAAAAAAAEAAAAZHJzL1BLAwQUAAAACACHTuJADLgjldkAAAAI&#10;AQAADwAAAGRycy9kb3ducmV2LnhtbE2PQUvDQBSE74L/YXmCN7tJqmmMeSlS1FMRbIXS2zb7moRm&#10;34bsNmn/vetJj8MMM98Uy4vpxEiDay0jxLMIBHFldcs1wvf2/SED4bxirTrLhHAlB8vy9qZQubYT&#10;f9G48bUIJexyhdB43+dSuqoho9zM9sTBO9rBKB/kUEs9qCmUm04mUZRKo1oOC43qadVQddqcDcLH&#10;pKbXefw2rk/H1XW/ffrcrWNCvL+LoxcQni7+Lwy/+AEdysB0sGfWTnQIaRqCCPPsEUSwF9lzuHZA&#10;SNJFArIs5P8D5Q9QSwMEFAAAAAgAh07iQO9nFh3bAgAAfAgAAA4AAABkcnMvZTJvRG9jLnhtbO1W&#10;y27UMBTdI/EPlvc0j2ZeUTNV1dIKqUClwgd4HCexSGxjeyZT1iy65A+Q2PENiM+p+A2unXQmnXZR&#10;gbpAIouMrx/H55577MzB4bqp0Yppw6XIcLQXYsQElTkXZYbfvzt9McXIWCJyUkvBMnzFDD6cP392&#10;0KqUxbKSdc40AhBh0lZluLJWpUFgaMUaYvakYgIGC6kbYiHUZZBr0gJ6UwdxGI6DVupcaUmZMdB7&#10;0g3iHlE/BlAWBafsRNJlw4TtUDWriYWUTMWVwXPPtigYtW+LwjCL6gxDpta/YRNoL9w7mB+QtNRE&#10;VZz2FMhjKOzk1BAuYNMN1AmxBC01vwfVcKqlkYXdo7IJukS8IpBFFO5oc6blUvlcyrQt1UZ0KNSO&#10;6n8MS9+sLjTieYZjjARpoOC/fny++XKNojCeOXlaVaYw60yrS3Wh+46yi1zG60I37hdyQWsv7NVG&#10;WLa2iEJnMhtP4wQ0pzAWJaN4Ou2lpxXUx62LomSMEQxPRuNxVxZavezXTyfRpFscj0PPKthuzHyZ&#10;z40FboFjuyHXKrCo2epm/k63y4oo5sthnCK9bvsb3b5+v/n5DXTb97m5zWGWE83JY9S5pB8MEvK4&#10;IqJkR1rLtmIkB1KRyxeoDxa4wMBStGhfyxyqQpZWeoft6P2AbhvVI1DSS/6Aakobe8Zkg1wjwxpO&#10;iocnq15Jkt5O8fRlzfNTXtc+0OXiuNZoReBUnfrHZwBZDqfVArUZno3ikUe+M2aGEKF/HoJouIXL&#10;puYN+HM4qRaOx07lO8WcY01q14u196pJFzK/AiG17A4/XH3QqKT+hFELBz/D5uOSaIZR/UpAMWZR&#10;4pxqfZCMJjEEejiyGI4QQQEqwxajrnlsu9tlqTQvK9gp8skLeQQFLHhv0ltWfdnBpB3tJ3drct+t&#10;3n13zPd0bh1NotnOKd+6NQFy7oL479Z/wK3+poWPEjj4zldvGHt3b/80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DLgjldkAAAAIAQAADwAAAAAAAAABACAAAAAiAAAAZHJzL2Rvd25yZXYueG1s&#10;UEsBAhQAFAAAAAgAh07iQO9nFh3bAgAAfAgAAA4AAAAAAAAAAQAgAAAAKAEAAGRycy9lMm9Eb2Mu&#10;eG1sUEsFBgAAAAAGAAYAWQEAAHUGAAAAAA==&#10;">
                <o:lock v:ext="edit" aspectratio="f"/>
                <v:rect id="矩形 1030" o:spid="_x0000_s1026" o:spt="1" style="position:absolute;left:1146;top:7566;height:2609;width:4166;" fillcolor="#FFFFFF" filled="t" stroked="t" coordsize="21600,21600" o:gfxdata="UEsDBAoAAAAAAIdO4kAAAAAAAAAAAAAAAAAEAAAAZHJzL1BLAwQUAAAACACHTuJAeDVS+bwAAADa&#10;AAAADwAAAGRycy9kb3ducmV2LnhtbEWPQWsCMRSE7wX/Q3hCb91kLUhZjYJKoRRZ6bZ4fmyeu8HN&#10;S9ikav99IxR6HGbmG2a5vrlBXGiM1rOGslAgiFtvLHcavj5fn15AxIRscPBMGn4owno1eVhiZfyV&#10;P+jSpE5kCMcKNfQphUrK2PbkMBY+EGfv5EeHKcuxk2bEa4a7Qc6UmkuHlvNCj4G2PbXn5ttpOAZW&#10;5b4OqW7eZ4f95mCPu9pq/Tgt1QJEolv6D/+134yGZ7hfyTd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1Uvm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pPr>
                          <w:jc w:val="center"/>
                        </w:pPr>
                        <w:r>
                          <w:rPr>
                            <w:rFonts w:hint="eastAsia"/>
                          </w:rPr>
                          <w:t>身份证（正面）</w:t>
                        </w:r>
                      </w:p>
                      <w:p>
                        <w:pPr>
                          <w:ind w:firstLine="1050" w:firstLineChars="500"/>
                        </w:pPr>
                      </w:p>
                    </w:txbxContent>
                  </v:textbox>
                </v:rect>
                <v:rect id="矩形 1031" o:spid="_x0000_s1026" o:spt="1" style="position:absolute;left:5719;top:7566;height:2609;width:4144;" fillcolor="#FFFFFF" filled="t" stroked="t" coordsize="21600,21600" o:gfxdata="UEsDBAoAAAAAAIdO4kAAAAAAAAAAAAAAAAAEAAAAZHJzL1BLAwQUAAAACACHTuJA99zKjbwAAADa&#10;AAAADwAAAGRycy9kb3ducmV2LnhtbEWPQWsCMRSE7wX/Q3hCb91kpUhZjYJKoRRZ6bZ4fmyeu8HN&#10;S9ikav99IxR6HGbmG2a5vrlBXGiM1rOGslAgiFtvLHcavj5fn15AxIRscPBMGn4owno1eVhiZfyV&#10;P+jSpE5kCMcKNfQphUrK2PbkMBY+EGfv5EeHKcuxk2bEa4a7Qc6UmkuHlvNCj4G2PbXn5ttpOAZW&#10;5b4OqW7eZ4f95mCPu9pq/Tgt1QJEolv6D/+134yGZ7hfyTd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cyo2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p>
    <w:p>
      <w:pPr>
        <w:spacing w:line="360" w:lineRule="auto"/>
        <w:rPr>
          <w:rFonts w:ascii="宋体" w:hAnsi="宋体"/>
          <w:b/>
          <w:bCs/>
        </w:rPr>
      </w:pPr>
      <w:r>
        <w:rPr>
          <w:rFonts w:hint="eastAsia" w:ascii="宋体" w:hAnsi="宋体"/>
          <w:b/>
          <w:bCs/>
        </w:rPr>
        <w:t xml:space="preserve">                         </w:t>
      </w:r>
    </w:p>
    <w:p>
      <w:pPr>
        <w:spacing w:line="360" w:lineRule="auto"/>
        <w:rPr>
          <w:rFonts w:ascii="宋体" w:hAnsi="宋体"/>
          <w:szCs w:val="21"/>
        </w:rPr>
      </w:pPr>
      <w:r>
        <w:rPr>
          <w:rFonts w:hint="eastAsia" w:ascii="宋体" w:hAnsi="宋体"/>
          <w:b/>
          <w:bCs/>
        </w:rPr>
        <w:t xml:space="preserve">                                </w:t>
      </w:r>
      <w:r>
        <w:rPr>
          <w:rFonts w:hint="eastAsia" w:ascii="宋体" w:hAnsi="宋体"/>
          <w:b/>
          <w:bCs/>
          <w:szCs w:val="21"/>
        </w:rPr>
        <w:t xml:space="preserve">            </w:t>
      </w:r>
      <w:r>
        <w:rPr>
          <w:rFonts w:hint="eastAsia" w:ascii="宋体" w:hAnsi="宋体"/>
          <w:szCs w:val="21"/>
        </w:rPr>
        <w:t>供应商名称：（盖公章）：</w:t>
      </w:r>
    </w:p>
    <w:p>
      <w:pPr>
        <w:spacing w:line="360" w:lineRule="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地址：</w:t>
      </w:r>
    </w:p>
    <w:p>
      <w:pPr>
        <w:spacing w:line="360" w:lineRule="auto"/>
        <w:rPr>
          <w:rFonts w:ascii="宋体" w:hAnsi="宋体"/>
          <w:b/>
          <w:bCs/>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日期：</w:t>
      </w:r>
    </w:p>
    <w:p>
      <w:pPr>
        <w:spacing w:line="360" w:lineRule="auto"/>
        <w:rPr>
          <w:rFonts w:ascii="宋体" w:hAnsi="宋体"/>
        </w:rPr>
      </w:pPr>
      <w:r>
        <w:rPr>
          <w:rFonts w:ascii="宋体" w:hAnsi="宋体"/>
        </w:rPr>
        <w:br w:type="page"/>
      </w:r>
    </w:p>
    <w:p>
      <w:pPr>
        <w:pStyle w:val="3"/>
        <w:numPr>
          <w:ilvl w:val="0"/>
          <w:numId w:val="0"/>
        </w:numPr>
        <w:jc w:val="center"/>
        <w:rPr>
          <w:rFonts w:ascii="宋体" w:hAnsi="宋体" w:cs="宋体"/>
          <w:sz w:val="32"/>
          <w:szCs w:val="32"/>
        </w:rPr>
      </w:pPr>
      <w:bookmarkStart w:id="2" w:name="_Hlk58414374"/>
      <w:bookmarkStart w:id="3" w:name="_Hlk58414491"/>
      <w:r>
        <w:rPr>
          <w:rFonts w:hint="eastAsia" w:ascii="宋体" w:hAnsi="宋体" w:cs="宋体"/>
          <w:sz w:val="32"/>
          <w:szCs w:val="32"/>
        </w:rPr>
        <w:t>广东省广裕集团阳春实业有限公司供应商管理规则（试行）承诺函</w:t>
      </w:r>
      <w:bookmarkEnd w:id="2"/>
    </w:p>
    <w:bookmarkEnd w:id="3"/>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为保障平台采购工作的严肃性以及严谨性，若供应商在参与广东省阳春监狱线上采购一体化平台采购活动时，出现下述情况，平台有权将其列入黑名单处理。</w:t>
      </w:r>
    </w:p>
    <w:tbl>
      <w:tblPr>
        <w:tblStyle w:val="26"/>
        <w:tblW w:w="854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0"/>
        <w:gridCol w:w="7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pPr>
              <w:widowControl/>
              <w:spacing w:line="360" w:lineRule="auto"/>
              <w:jc w:val="center"/>
              <w:rPr>
                <w:rFonts w:ascii="宋体" w:hAnsi="宋体" w:cs="宋体"/>
                <w:b/>
                <w:color w:val="000000"/>
                <w:kern w:val="0"/>
                <w:szCs w:val="21"/>
              </w:rPr>
            </w:pPr>
            <w:r>
              <w:rPr>
                <w:rFonts w:hint="eastAsia" w:ascii="宋体" w:hAnsi="宋体" w:cs="宋体"/>
                <w:b/>
                <w:color w:val="000000"/>
                <w:kern w:val="0"/>
                <w:szCs w:val="21"/>
              </w:rPr>
              <w:t>序号</w:t>
            </w:r>
          </w:p>
        </w:tc>
        <w:tc>
          <w:tcPr>
            <w:tcW w:w="7686" w:type="dxa"/>
            <w:tcMar>
              <w:top w:w="0" w:type="dxa"/>
              <w:left w:w="105" w:type="dxa"/>
              <w:bottom w:w="0" w:type="dxa"/>
              <w:right w:w="105" w:type="dxa"/>
            </w:tcMar>
            <w:vAlign w:val="center"/>
          </w:tcPr>
          <w:p>
            <w:pPr>
              <w:widowControl/>
              <w:spacing w:line="360" w:lineRule="auto"/>
              <w:jc w:val="center"/>
              <w:rPr>
                <w:rFonts w:ascii="宋体" w:hAnsi="宋体" w:cs="宋体"/>
                <w:b/>
                <w:color w:val="000000"/>
                <w:kern w:val="0"/>
                <w:szCs w:val="21"/>
              </w:rPr>
            </w:pPr>
            <w:r>
              <w:rPr>
                <w:rFonts w:hint="eastAsia" w:ascii="宋体" w:hAnsi="宋体" w:cs="宋体"/>
                <w:b/>
                <w:color w:val="000000"/>
                <w:kern w:val="0"/>
                <w:szCs w:val="21"/>
              </w:rPr>
              <w:t>条 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7686" w:type="dxa"/>
            <w:tcMar>
              <w:top w:w="0" w:type="dxa"/>
              <w:left w:w="105" w:type="dxa"/>
              <w:bottom w:w="0" w:type="dxa"/>
              <w:right w:w="105" w:type="dxa"/>
            </w:tcMar>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供应商因报价不严肃（包含但不限于报价随意等情况）、不严谨（包含但不限于个别采购内容漏报价、合计金额超过项目最高限价等情况）、恶意报价从而影响采购工作正常进度；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7686" w:type="dxa"/>
            <w:tcMar>
              <w:top w:w="0" w:type="dxa"/>
              <w:left w:w="105" w:type="dxa"/>
              <w:bottom w:w="0" w:type="dxa"/>
              <w:right w:w="105" w:type="dxa"/>
            </w:tcMar>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供应商未合理报价，提交的报价与实际市场价格差异大；（供应商能以该成交价格正常履行合同以及所供货物/服务/工程满足竞价文件要求的情况除外）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7686" w:type="dxa"/>
            <w:tcMar>
              <w:top w:w="0" w:type="dxa"/>
              <w:left w:w="105" w:type="dxa"/>
              <w:bottom w:w="0" w:type="dxa"/>
              <w:right w:w="105" w:type="dxa"/>
            </w:tcMar>
            <w:vAlign w:val="center"/>
          </w:tcPr>
          <w:p>
            <w:pPr>
              <w:widowControl/>
              <w:spacing w:line="360" w:lineRule="auto"/>
              <w:rPr>
                <w:rFonts w:ascii="宋体" w:hAnsi="宋体" w:cs="宋体"/>
                <w:color w:val="000000"/>
                <w:kern w:val="0"/>
                <w:szCs w:val="21"/>
              </w:rPr>
            </w:pPr>
            <w:r>
              <w:rPr>
                <w:rFonts w:hint="eastAsia" w:ascii="宋体" w:hAnsi="宋体" w:cs="宋体"/>
                <w:color w:val="000000"/>
                <w:kern w:val="0"/>
                <w:szCs w:val="21"/>
              </w:rPr>
              <w:t>提供的货物的采购价格超过市场价格；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pPr>
              <w:widowControl/>
              <w:spacing w:line="360" w:lineRule="auto"/>
              <w:jc w:val="center"/>
              <w:rPr>
                <w:rFonts w:ascii="宋体" w:hAnsi="宋体" w:cs="宋体"/>
                <w:color w:val="000000"/>
                <w:kern w:val="0"/>
                <w:szCs w:val="21"/>
              </w:rPr>
            </w:pPr>
            <w:r>
              <w:rPr>
                <w:rFonts w:ascii="宋体" w:hAnsi="宋体" w:cs="宋体"/>
                <w:color w:val="000000"/>
                <w:kern w:val="0"/>
                <w:szCs w:val="21"/>
              </w:rPr>
              <w:t>4</w:t>
            </w:r>
          </w:p>
        </w:tc>
        <w:tc>
          <w:tcPr>
            <w:tcW w:w="7686" w:type="dxa"/>
            <w:tcMar>
              <w:top w:w="0" w:type="dxa"/>
              <w:left w:w="105" w:type="dxa"/>
              <w:bottom w:w="0" w:type="dxa"/>
              <w:right w:w="105" w:type="dxa"/>
            </w:tcMar>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供应商应按采购人用户需求中所要求的型号、参数等条件准确提交报价表。若供应商所供产品与采购人需求存在偏差，须在报价表中备注位置详细注明另报产品的名称、品牌、规格型号、技术指标、服务等有利于采购人判别供应商所供产品是否适用于项目的内容，且供应商须保证该产品能满足采购人正常生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pPr>
              <w:widowControl/>
              <w:spacing w:line="360" w:lineRule="auto"/>
              <w:jc w:val="center"/>
              <w:rPr>
                <w:rFonts w:ascii="宋体" w:hAnsi="宋体" w:cs="宋体"/>
                <w:color w:val="000000"/>
                <w:kern w:val="0"/>
                <w:szCs w:val="21"/>
              </w:rPr>
            </w:pPr>
            <w:r>
              <w:rPr>
                <w:rFonts w:ascii="宋体" w:hAnsi="宋体" w:cs="宋体"/>
                <w:color w:val="000000"/>
                <w:kern w:val="0"/>
                <w:szCs w:val="21"/>
              </w:rPr>
              <w:t>5</w:t>
            </w:r>
          </w:p>
        </w:tc>
        <w:tc>
          <w:tcPr>
            <w:tcW w:w="7686" w:type="dxa"/>
            <w:tcMar>
              <w:top w:w="0" w:type="dxa"/>
              <w:left w:w="105" w:type="dxa"/>
              <w:bottom w:w="0" w:type="dxa"/>
              <w:right w:w="105" w:type="dxa"/>
            </w:tcMar>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供应商无正当理由（不可抗力）放弃成交资格；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pPr>
              <w:widowControl/>
              <w:spacing w:line="360" w:lineRule="auto"/>
              <w:jc w:val="center"/>
              <w:rPr>
                <w:rFonts w:ascii="宋体" w:hAnsi="宋体" w:cs="宋体"/>
                <w:color w:val="000000"/>
                <w:kern w:val="0"/>
                <w:szCs w:val="21"/>
              </w:rPr>
            </w:pPr>
            <w:r>
              <w:rPr>
                <w:rFonts w:ascii="宋体" w:hAnsi="宋体" w:cs="宋体"/>
                <w:color w:val="000000"/>
                <w:kern w:val="0"/>
                <w:szCs w:val="21"/>
              </w:rPr>
              <w:t>6</w:t>
            </w:r>
          </w:p>
        </w:tc>
        <w:tc>
          <w:tcPr>
            <w:tcW w:w="7686" w:type="dxa"/>
            <w:tcMar>
              <w:top w:w="0" w:type="dxa"/>
              <w:left w:w="105" w:type="dxa"/>
              <w:bottom w:w="0" w:type="dxa"/>
              <w:right w:w="105" w:type="dxa"/>
            </w:tcMar>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供应商无正当理由（不可抗力）不执行已成交的项目的；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tblCellSpacing w:w="0" w:type="dxa"/>
          <w:jc w:val="center"/>
        </w:trPr>
        <w:tc>
          <w:tcPr>
            <w:tcW w:w="860" w:type="dxa"/>
            <w:tcMar>
              <w:top w:w="0" w:type="dxa"/>
              <w:left w:w="105" w:type="dxa"/>
              <w:bottom w:w="0" w:type="dxa"/>
              <w:right w:w="105" w:type="dxa"/>
            </w:tcMar>
            <w:vAlign w:val="center"/>
          </w:tcPr>
          <w:p>
            <w:pPr>
              <w:widowControl/>
              <w:spacing w:line="360" w:lineRule="auto"/>
              <w:jc w:val="center"/>
              <w:rPr>
                <w:rFonts w:ascii="宋体" w:hAnsi="宋体" w:cs="宋体"/>
                <w:color w:val="000000"/>
                <w:kern w:val="0"/>
                <w:szCs w:val="21"/>
              </w:rPr>
            </w:pPr>
            <w:r>
              <w:rPr>
                <w:rFonts w:ascii="宋体" w:hAnsi="宋体" w:cs="宋体"/>
                <w:color w:val="000000"/>
                <w:kern w:val="0"/>
                <w:szCs w:val="21"/>
              </w:rPr>
              <w:t>7</w:t>
            </w:r>
          </w:p>
        </w:tc>
        <w:tc>
          <w:tcPr>
            <w:tcW w:w="7686" w:type="dxa"/>
            <w:tcMar>
              <w:top w:w="0" w:type="dxa"/>
              <w:left w:w="105" w:type="dxa"/>
              <w:bottom w:w="0" w:type="dxa"/>
              <w:right w:w="105" w:type="dxa"/>
            </w:tcMar>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成交合同未在成交公告之日起30自然日内签署；（如遇不可抗力情形除外）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pPr>
              <w:widowControl/>
              <w:spacing w:line="360" w:lineRule="auto"/>
              <w:jc w:val="center"/>
              <w:rPr>
                <w:rFonts w:ascii="宋体" w:hAnsi="宋体" w:cs="宋体"/>
                <w:color w:val="000000"/>
                <w:kern w:val="0"/>
                <w:szCs w:val="21"/>
              </w:rPr>
            </w:pPr>
            <w:r>
              <w:rPr>
                <w:rFonts w:ascii="宋体" w:hAnsi="宋体" w:cs="宋体"/>
                <w:color w:val="000000"/>
                <w:kern w:val="0"/>
                <w:szCs w:val="21"/>
              </w:rPr>
              <w:t>8</w:t>
            </w:r>
          </w:p>
        </w:tc>
        <w:tc>
          <w:tcPr>
            <w:tcW w:w="7686" w:type="dxa"/>
            <w:tcMar>
              <w:top w:w="0" w:type="dxa"/>
              <w:left w:w="105" w:type="dxa"/>
              <w:bottom w:w="0" w:type="dxa"/>
              <w:right w:w="105" w:type="dxa"/>
            </w:tcMar>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供应商出现不按竞价文件要求供货，提供不了原厂证明或证明作假等情况；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pPr>
              <w:widowControl/>
              <w:spacing w:line="360" w:lineRule="auto"/>
              <w:jc w:val="center"/>
              <w:rPr>
                <w:rFonts w:ascii="宋体" w:hAnsi="宋体" w:cs="宋体"/>
                <w:color w:val="000000"/>
                <w:kern w:val="0"/>
                <w:szCs w:val="21"/>
              </w:rPr>
            </w:pPr>
            <w:r>
              <w:rPr>
                <w:rFonts w:ascii="宋体" w:hAnsi="宋体" w:cs="宋体"/>
                <w:color w:val="000000"/>
                <w:kern w:val="0"/>
                <w:szCs w:val="21"/>
              </w:rPr>
              <w:t>9</w:t>
            </w:r>
          </w:p>
        </w:tc>
        <w:tc>
          <w:tcPr>
            <w:tcW w:w="7686" w:type="dxa"/>
            <w:tcMar>
              <w:top w:w="0" w:type="dxa"/>
              <w:left w:w="105" w:type="dxa"/>
              <w:bottom w:w="0" w:type="dxa"/>
              <w:right w:w="105" w:type="dxa"/>
            </w:tcMar>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供应商在履约期间未按竞价文件的用户需求内容以及合同内容履约；（该条款包含货物、服务以及工程项目）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pPr>
              <w:widowControl/>
              <w:spacing w:line="360" w:lineRule="auto"/>
              <w:jc w:val="center"/>
              <w:rPr>
                <w:rFonts w:ascii="宋体" w:hAnsi="宋体" w:cs="宋体"/>
                <w:color w:val="000000"/>
                <w:kern w:val="0"/>
                <w:szCs w:val="21"/>
              </w:rPr>
            </w:pPr>
            <w:r>
              <w:rPr>
                <w:rFonts w:ascii="宋体" w:hAnsi="宋体" w:cs="宋体"/>
                <w:color w:val="000000"/>
                <w:kern w:val="0"/>
                <w:szCs w:val="21"/>
              </w:rPr>
              <w:t>10</w:t>
            </w:r>
          </w:p>
        </w:tc>
        <w:tc>
          <w:tcPr>
            <w:tcW w:w="7686" w:type="dxa"/>
            <w:tcMar>
              <w:top w:w="0" w:type="dxa"/>
              <w:left w:w="105" w:type="dxa"/>
              <w:bottom w:w="0" w:type="dxa"/>
              <w:right w:w="105" w:type="dxa"/>
            </w:tcMar>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供应商成交后，未按时交货或出现货物质量差等影响采购人正常安全生产的情况；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pPr>
              <w:widowControl/>
              <w:spacing w:line="360" w:lineRule="auto"/>
              <w:jc w:val="center"/>
              <w:rPr>
                <w:rFonts w:ascii="宋体" w:hAnsi="宋体" w:cs="宋体"/>
                <w:color w:val="000000"/>
                <w:kern w:val="0"/>
                <w:szCs w:val="21"/>
              </w:rPr>
            </w:pPr>
            <w:r>
              <w:rPr>
                <w:rFonts w:ascii="宋体" w:hAnsi="宋体" w:cs="宋体"/>
                <w:color w:val="000000"/>
                <w:kern w:val="0"/>
                <w:szCs w:val="21"/>
              </w:rPr>
              <w:t>11</w:t>
            </w:r>
          </w:p>
        </w:tc>
        <w:tc>
          <w:tcPr>
            <w:tcW w:w="7686" w:type="dxa"/>
            <w:tcMar>
              <w:top w:w="0" w:type="dxa"/>
              <w:left w:w="105" w:type="dxa"/>
              <w:bottom w:w="0" w:type="dxa"/>
              <w:right w:w="105" w:type="dxa"/>
            </w:tcMar>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供应商出现未按实际供货情况进行验收；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pPr>
              <w:widowControl/>
              <w:spacing w:line="360" w:lineRule="auto"/>
              <w:jc w:val="center"/>
              <w:rPr>
                <w:rFonts w:ascii="宋体" w:hAnsi="宋体" w:cs="宋体"/>
                <w:color w:val="000000"/>
                <w:kern w:val="0"/>
                <w:szCs w:val="21"/>
              </w:rPr>
            </w:pPr>
            <w:r>
              <w:rPr>
                <w:rFonts w:ascii="宋体" w:hAnsi="宋体" w:cs="宋体"/>
                <w:color w:val="000000"/>
                <w:kern w:val="0"/>
                <w:szCs w:val="21"/>
              </w:rPr>
              <w:t>12</w:t>
            </w:r>
          </w:p>
        </w:tc>
        <w:tc>
          <w:tcPr>
            <w:tcW w:w="7686" w:type="dxa"/>
            <w:tcMar>
              <w:top w:w="0" w:type="dxa"/>
              <w:left w:w="105" w:type="dxa"/>
              <w:bottom w:w="0" w:type="dxa"/>
              <w:right w:w="105" w:type="dxa"/>
            </w:tcMar>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经采购人反馈并经证实，出现推卸售后责任与服务等问题；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60" w:type="dxa"/>
            <w:tcMar>
              <w:top w:w="0" w:type="dxa"/>
              <w:left w:w="105" w:type="dxa"/>
              <w:bottom w:w="0" w:type="dxa"/>
              <w:right w:w="105" w:type="dxa"/>
            </w:tcMar>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3</w:t>
            </w:r>
          </w:p>
        </w:tc>
        <w:tc>
          <w:tcPr>
            <w:tcW w:w="7686" w:type="dxa"/>
            <w:tcMar>
              <w:top w:w="0" w:type="dxa"/>
              <w:left w:w="105" w:type="dxa"/>
              <w:bottom w:w="0" w:type="dxa"/>
              <w:right w:w="105" w:type="dxa"/>
            </w:tcMar>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经采购人反馈并经证实，验收后发现所供货物存在翻新或货不对版等情况；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6" w:hRule="atLeast"/>
          <w:tblCellSpacing w:w="0" w:type="dxa"/>
          <w:jc w:val="center"/>
        </w:trPr>
        <w:tc>
          <w:tcPr>
            <w:tcW w:w="8546" w:type="dxa"/>
            <w:gridSpan w:val="2"/>
            <w:tcMar>
              <w:top w:w="0" w:type="dxa"/>
              <w:left w:w="105" w:type="dxa"/>
              <w:bottom w:w="0" w:type="dxa"/>
              <w:right w:w="105" w:type="dxa"/>
            </w:tcMar>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备注：</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（1）出现以上情形1次的，平台将对该供应商进行提醒处理，并在平台“通知公告”处进行公示；</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（2）累计出现以上情形2次的，平台将对其进行警告处理，将其纳入供应商黑名单2个月，在此期间不能参与</w:t>
            </w:r>
            <w:r>
              <w:rPr>
                <w:rFonts w:hint="eastAsia" w:ascii="宋体" w:hAnsi="宋体" w:cs="宋体"/>
                <w:color w:val="000000"/>
                <w:kern w:val="0"/>
                <w:szCs w:val="21"/>
                <w:u w:val="double"/>
              </w:rPr>
              <w:t>广东省广裕集团阳春实业有限公司</w:t>
            </w:r>
            <w:r>
              <w:rPr>
                <w:rFonts w:hint="eastAsia" w:ascii="宋体" w:hAnsi="宋体" w:cs="宋体"/>
                <w:color w:val="000000"/>
                <w:kern w:val="0"/>
                <w:szCs w:val="21"/>
              </w:rPr>
              <w:t>所有采购活动，并在平台“通知公告”处进行公示；</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（3）累计出现以上情形3次的，平台将对其进行剔除处理，将其纳入供应商黑名单2年，在此期间不能参与</w:t>
            </w:r>
            <w:r>
              <w:rPr>
                <w:rFonts w:hint="eastAsia" w:ascii="宋体" w:hAnsi="宋体" w:cs="宋体"/>
                <w:color w:val="000000"/>
                <w:kern w:val="0"/>
                <w:szCs w:val="21"/>
                <w:u w:val="double"/>
              </w:rPr>
              <w:t>广东省广裕集团阳春实业有限公司</w:t>
            </w:r>
            <w:r>
              <w:rPr>
                <w:rFonts w:hint="eastAsia" w:ascii="宋体" w:hAnsi="宋体" w:cs="宋体"/>
                <w:color w:val="000000"/>
                <w:kern w:val="0"/>
                <w:szCs w:val="21"/>
              </w:rPr>
              <w:t>所有采购活动，删除供应商资格权限，并在平台“通知公告”处进行公示；</w:t>
            </w:r>
          </w:p>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4）本规则记录周期为一年，自当年1月1日起算，以上情形累计不超过三次的，记录于每年12月31日清零；已被纳入供应商黑名单的在禁止参与竞价期限内不予清零，供应商须在处理期结束后，自行提交供应商资格恢复申请函（格式自拟），自资格恢复之日起重新起算。</w:t>
            </w:r>
          </w:p>
        </w:tc>
      </w:tr>
    </w:tbl>
    <w:p>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出现以下情况的，将直接对供应商作出剔除资格处理：</w:t>
      </w:r>
    </w:p>
    <w:p>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1.伪造虚假材料报名参与项目；</w:t>
      </w:r>
    </w:p>
    <w:p>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2.提供假、冒、伪、劣及不合法产品参与采购项目；</w:t>
      </w:r>
    </w:p>
    <w:p>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3.采取不正当手段诋毁、排挤或串通其他供应商对采购人及平台进行人身攻击的；</w:t>
      </w:r>
    </w:p>
    <w:p>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4.向采购人或平台行贿或提供其他不正当利益的；</w:t>
      </w:r>
    </w:p>
    <w:p>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5.符合串通竞价的情形；</w:t>
      </w:r>
    </w:p>
    <w:p>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各方（供应商、采购人、平台运营人员）须共同遵守本规则，维护平台采购秩序，坚持打造公平、公开、公正的线上采购一体化平台。</w:t>
      </w:r>
    </w:p>
    <w:p>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本管理规则由云采链线上采购一体化平台负责解释。</w:t>
      </w:r>
    </w:p>
    <w:p>
      <w:pPr>
        <w:widowControl/>
        <w:spacing w:line="312" w:lineRule="auto"/>
        <w:jc w:val="left"/>
        <w:rPr>
          <w:rFonts w:ascii="宋体" w:hAnsi="宋体" w:cs="宋体"/>
          <w:color w:val="000000"/>
          <w:kern w:val="0"/>
          <w:szCs w:val="21"/>
        </w:rPr>
      </w:pPr>
      <w:r>
        <w:rPr>
          <w:rFonts w:hint="eastAsia" w:ascii="宋体" w:hAnsi="宋体" w:cs="宋体"/>
          <w:color w:val="000000"/>
          <w:kern w:val="0"/>
          <w:szCs w:val="21"/>
        </w:rPr>
        <w:t>本管理规则自发布之日起执行。</w:t>
      </w:r>
    </w:p>
    <w:p>
      <w:pPr>
        <w:spacing w:line="312" w:lineRule="auto"/>
        <w:jc w:val="left"/>
        <w:rPr>
          <w:rFonts w:ascii="宋体" w:hAnsi="宋体"/>
          <w:b/>
          <w:bCs/>
          <w:color w:val="000000"/>
          <w:szCs w:val="21"/>
        </w:rPr>
      </w:pPr>
      <w:r>
        <w:rPr>
          <w:rFonts w:hint="eastAsia" w:ascii="宋体" w:hAnsi="宋体"/>
          <w:b/>
          <w:bCs/>
          <w:color w:val="000000"/>
          <w:szCs w:val="21"/>
        </w:rPr>
        <w:t>========================================================</w:t>
      </w:r>
    </w:p>
    <w:p>
      <w:pPr>
        <w:spacing w:line="312" w:lineRule="auto"/>
        <w:ind w:left="-2" w:leftChars="-1" w:right="19" w:rightChars="9" w:firstLine="457" w:firstLineChars="218"/>
        <w:jc w:val="left"/>
        <w:rPr>
          <w:rFonts w:ascii="宋体" w:hAnsi="宋体"/>
          <w:color w:val="000000"/>
          <w:szCs w:val="21"/>
        </w:rPr>
      </w:pPr>
      <w:r>
        <w:rPr>
          <w:rFonts w:hint="eastAsia" w:ascii="宋体" w:hAnsi="宋体"/>
          <w:color w:val="000000"/>
          <w:szCs w:val="21"/>
        </w:rPr>
        <w:t>我司（单位）报名参与</w:t>
      </w:r>
      <w:r>
        <w:rPr>
          <w:rFonts w:hint="eastAsia" w:ascii="宋体" w:hAnsi="宋体"/>
          <w:b/>
          <w:u w:val="single"/>
          <w:lang w:eastAsia="zh-CN"/>
        </w:rPr>
        <w:t>广东省广裕集团阳春实业有限公司生产区绿化带砌花基项目（第三次竞价）</w:t>
      </w:r>
      <w:r>
        <w:rPr>
          <w:rFonts w:hint="eastAsia" w:ascii="宋体" w:hAnsi="宋体"/>
          <w:color w:val="000000"/>
          <w:szCs w:val="21"/>
        </w:rPr>
        <w:t>，并已经详细地阅读并完全明白《广东省广裕集团阳春实业有限公司供应商管理规则（试行）》，我司（单位）承诺遵守该规则，若有违反其中条款，同意平台对我司（单位）按照上述条款作出相应处理。</w:t>
      </w:r>
    </w:p>
    <w:p>
      <w:pPr>
        <w:spacing w:line="360" w:lineRule="auto"/>
        <w:jc w:val="right"/>
        <w:rPr>
          <w:rFonts w:ascii="宋体" w:hAnsi="宋体"/>
          <w:color w:val="000000"/>
          <w:spacing w:val="4"/>
          <w:szCs w:val="21"/>
        </w:rPr>
      </w:pPr>
    </w:p>
    <w:p>
      <w:pPr>
        <w:spacing w:line="360" w:lineRule="auto"/>
        <w:jc w:val="right"/>
        <w:rPr>
          <w:rFonts w:ascii="宋体" w:hAnsi="宋体"/>
          <w:color w:val="000000"/>
          <w:spacing w:val="4"/>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p>
    <w:p>
      <w:pPr>
        <w:jc w:val="right"/>
      </w:pPr>
      <w:r>
        <w:rPr>
          <w:rFonts w:hint="eastAsia"/>
        </w:rPr>
        <w:t>日期：</w:t>
      </w:r>
    </w:p>
    <w:p>
      <w:pPr>
        <w:tabs>
          <w:tab w:val="left" w:pos="720"/>
        </w:tabs>
        <w:spacing w:line="360" w:lineRule="auto"/>
        <w:jc w:val="center"/>
        <w:rPr>
          <w:rFonts w:ascii="宋体" w:hAnsi="宋体" w:cs="宋体"/>
          <w:bCs/>
          <w:sz w:val="52"/>
          <w:szCs w:val="52"/>
        </w:rPr>
      </w:pPr>
      <w:r>
        <w:rPr>
          <w:rFonts w:ascii="宋体" w:hAnsi="宋体"/>
          <w:color w:val="000000"/>
          <w:spacing w:val="4"/>
          <w:szCs w:val="21"/>
        </w:rPr>
        <w:br w:type="page"/>
      </w:r>
      <w:r>
        <w:rPr>
          <w:rFonts w:hint="eastAsia" w:ascii="宋体" w:hAnsi="宋体" w:cs="宋体"/>
          <w:bCs/>
          <w:sz w:val="52"/>
          <w:szCs w:val="52"/>
          <w:lang w:bidi="ar"/>
        </w:rPr>
        <w:t>合</w:t>
      </w:r>
    </w:p>
    <w:p>
      <w:pPr>
        <w:jc w:val="center"/>
        <w:rPr>
          <w:rFonts w:ascii="宋体" w:hAnsi="宋体" w:cs="宋体"/>
          <w:sz w:val="52"/>
          <w:szCs w:val="52"/>
        </w:rPr>
      </w:pPr>
    </w:p>
    <w:p>
      <w:pPr>
        <w:jc w:val="center"/>
        <w:rPr>
          <w:rFonts w:ascii="宋体" w:hAnsi="宋体" w:cs="宋体"/>
          <w:sz w:val="52"/>
          <w:szCs w:val="52"/>
        </w:rPr>
      </w:pPr>
      <w:r>
        <w:rPr>
          <w:rFonts w:hint="eastAsia" w:ascii="宋体" w:hAnsi="宋体" w:cs="宋体"/>
          <w:sz w:val="52"/>
          <w:szCs w:val="52"/>
          <w:lang w:bidi="ar"/>
        </w:rPr>
        <w:t>同</w:t>
      </w:r>
    </w:p>
    <w:p>
      <w:pPr>
        <w:jc w:val="center"/>
        <w:rPr>
          <w:rFonts w:ascii="宋体" w:hAnsi="宋体" w:cs="宋体"/>
          <w:sz w:val="52"/>
          <w:szCs w:val="52"/>
        </w:rPr>
      </w:pPr>
    </w:p>
    <w:p>
      <w:pPr>
        <w:jc w:val="center"/>
        <w:rPr>
          <w:rFonts w:ascii="宋体" w:hAnsi="宋体" w:cs="宋体"/>
          <w:sz w:val="52"/>
          <w:szCs w:val="52"/>
        </w:rPr>
      </w:pPr>
      <w:r>
        <w:rPr>
          <w:rFonts w:hint="eastAsia" w:ascii="宋体" w:hAnsi="宋体" w:cs="宋体"/>
          <w:sz w:val="52"/>
          <w:szCs w:val="52"/>
          <w:lang w:bidi="ar"/>
        </w:rPr>
        <w:t>书</w:t>
      </w:r>
    </w:p>
    <w:p>
      <w:pPr>
        <w:jc w:val="center"/>
        <w:rPr>
          <w:rFonts w:ascii="宋体" w:hAnsi="宋体" w:cs="宋体"/>
          <w:sz w:val="52"/>
          <w:szCs w:val="52"/>
        </w:rPr>
      </w:pPr>
    </w:p>
    <w:p>
      <w:pPr>
        <w:jc w:val="center"/>
        <w:rPr>
          <w:rFonts w:ascii="宋体" w:hAnsi="宋体" w:cs="宋体"/>
          <w:sz w:val="52"/>
          <w:szCs w:val="52"/>
        </w:rPr>
      </w:pPr>
    </w:p>
    <w:p>
      <w:pPr>
        <w:jc w:val="center"/>
        <w:rPr>
          <w:rFonts w:ascii="宋体" w:hAnsi="宋体" w:cs="宋体"/>
          <w:sz w:val="52"/>
          <w:szCs w:val="52"/>
        </w:rPr>
      </w:pPr>
    </w:p>
    <w:p>
      <w:pPr>
        <w:jc w:val="center"/>
        <w:rPr>
          <w:rFonts w:ascii="宋体" w:hAnsi="宋体" w:cs="宋体"/>
          <w:sz w:val="52"/>
          <w:szCs w:val="52"/>
        </w:rPr>
      </w:pPr>
    </w:p>
    <w:p>
      <w:pPr>
        <w:pStyle w:val="2"/>
        <w:keepNext w:val="0"/>
        <w:keepLines w:val="0"/>
        <w:spacing w:before="0" w:after="0" w:line="240" w:lineRule="auto"/>
        <w:ind w:firstLine="321" w:firstLineChars="100"/>
        <w:rPr>
          <w:rFonts w:hint="eastAsia" w:eastAsia="宋体"/>
          <w:sz w:val="32"/>
          <w:szCs w:val="32"/>
          <w:lang w:eastAsia="zh-CN"/>
        </w:rPr>
      </w:pPr>
      <w:r>
        <w:rPr>
          <w:rFonts w:hint="eastAsia"/>
          <w:sz w:val="32"/>
          <w:szCs w:val="32"/>
        </w:rPr>
        <w:t>项目名称：</w:t>
      </w:r>
      <w:r>
        <w:rPr>
          <w:rFonts w:hint="eastAsia"/>
          <w:sz w:val="32"/>
          <w:szCs w:val="32"/>
          <w:lang w:eastAsia="zh-CN"/>
        </w:rPr>
        <w:t>广东省广裕集团阳春实业有限公司生产区绿化带砌花基项目（第三次竞价）</w:t>
      </w:r>
    </w:p>
    <w:p>
      <w:pPr>
        <w:ind w:firstLine="320" w:firstLineChars="100"/>
        <w:rPr>
          <w:rFonts w:ascii="宋体" w:hAnsi="宋体" w:cs="宋体"/>
          <w:color w:val="000000"/>
          <w:sz w:val="32"/>
          <w:szCs w:val="32"/>
        </w:rPr>
      </w:pPr>
      <w:r>
        <w:rPr>
          <w:rFonts w:hint="eastAsia" w:ascii="宋体" w:hAnsi="宋体" w:cs="宋体"/>
          <w:sz w:val="32"/>
          <w:szCs w:val="32"/>
          <w:lang w:bidi="ar"/>
        </w:rPr>
        <w:t>合同编号：</w:t>
      </w:r>
    </w:p>
    <w:p>
      <w:pPr>
        <w:ind w:firstLine="321" w:firstLineChars="100"/>
        <w:rPr>
          <w:rFonts w:ascii="宋体" w:hAnsi="宋体" w:cs="宋体"/>
          <w:b/>
          <w:bCs/>
          <w:sz w:val="32"/>
          <w:szCs w:val="32"/>
        </w:rPr>
      </w:pPr>
      <w:r>
        <w:rPr>
          <w:rFonts w:hint="eastAsia" w:ascii="宋体" w:hAnsi="宋体" w:cs="宋体"/>
          <w:b/>
          <w:bCs/>
          <w:sz w:val="32"/>
          <w:szCs w:val="32"/>
          <w:lang w:bidi="ar"/>
        </w:rPr>
        <w:t>签约地点：</w:t>
      </w:r>
    </w:p>
    <w:p>
      <w:pPr>
        <w:widowControl/>
        <w:jc w:val="left"/>
        <w:rPr>
          <w:rFonts w:ascii="Cambria" w:hAnsi="Cambria" w:eastAsia="Cambria" w:cs="宋体"/>
          <w:b/>
          <w:bCs/>
          <w:kern w:val="0"/>
          <w:sz w:val="32"/>
          <w:szCs w:val="32"/>
          <w:lang w:val="zh-CN"/>
        </w:rPr>
      </w:pPr>
    </w:p>
    <w:p>
      <w:pPr>
        <w:widowControl/>
        <w:jc w:val="left"/>
        <w:rPr>
          <w:rFonts w:ascii="Cambria" w:hAnsi="Cambria" w:eastAsia="Cambria" w:cs="宋体"/>
          <w:b/>
          <w:bCs/>
          <w:kern w:val="0"/>
          <w:sz w:val="32"/>
          <w:szCs w:val="32"/>
          <w:lang w:val="zh-CN"/>
        </w:rPr>
      </w:pPr>
    </w:p>
    <w:p>
      <w:pPr>
        <w:widowControl/>
        <w:jc w:val="left"/>
        <w:rPr>
          <w:rFonts w:ascii="Cambria" w:hAnsi="Cambria" w:eastAsia="Cambria" w:cs="宋体"/>
          <w:b/>
          <w:bCs/>
          <w:kern w:val="0"/>
          <w:sz w:val="32"/>
          <w:szCs w:val="32"/>
          <w:lang w:val="zh-CN"/>
        </w:rPr>
      </w:pPr>
    </w:p>
    <w:p>
      <w:pPr>
        <w:widowControl/>
        <w:jc w:val="left"/>
        <w:rPr>
          <w:rFonts w:ascii="Cambria" w:hAnsi="Cambria" w:eastAsia="Cambria" w:cs="宋体"/>
          <w:b/>
          <w:bCs/>
          <w:kern w:val="0"/>
          <w:sz w:val="32"/>
          <w:szCs w:val="32"/>
          <w:lang w:val="zh-CN"/>
        </w:rPr>
      </w:pPr>
    </w:p>
    <w:p>
      <w:pPr>
        <w:widowControl/>
        <w:jc w:val="left"/>
        <w:rPr>
          <w:rFonts w:ascii="Cambria" w:hAnsi="Cambria" w:eastAsia="Cambria" w:cs="宋体"/>
          <w:b/>
          <w:bCs/>
          <w:kern w:val="0"/>
          <w:sz w:val="32"/>
          <w:szCs w:val="32"/>
          <w:lang w:val="zh-CN"/>
        </w:rPr>
      </w:pPr>
    </w:p>
    <w:p>
      <w:pPr>
        <w:tabs>
          <w:tab w:val="left" w:pos="720"/>
        </w:tabs>
        <w:spacing w:line="360" w:lineRule="auto"/>
        <w:rPr>
          <w:rFonts w:ascii="宋体" w:hAnsi="宋体" w:cs="宋体"/>
          <w:b/>
          <w:szCs w:val="21"/>
        </w:rPr>
      </w:pPr>
      <w:r>
        <w:rPr>
          <w:rFonts w:hint="eastAsia" w:ascii="宋体" w:hAnsi="宋体" w:cs="宋体"/>
          <w:b/>
          <w:szCs w:val="21"/>
          <w:lang w:bidi="ar"/>
        </w:rPr>
        <w:t>甲    方</w:t>
      </w:r>
      <w:r>
        <w:rPr>
          <w:rFonts w:hint="eastAsia" w:ascii="宋体" w:hAnsi="宋体" w:cs="宋体"/>
          <w:szCs w:val="21"/>
          <w:lang w:bidi="ar"/>
        </w:rPr>
        <w:t>（采购人）</w:t>
      </w:r>
      <w:r>
        <w:rPr>
          <w:rFonts w:hint="eastAsia" w:ascii="宋体" w:hAnsi="宋体" w:cs="宋体"/>
          <w:b/>
          <w:szCs w:val="21"/>
          <w:lang w:bidi="ar"/>
        </w:rPr>
        <w:t>：</w:t>
      </w:r>
      <w:r>
        <w:rPr>
          <w:rFonts w:hint="eastAsia" w:ascii="宋体" w:hAnsi="宋体" w:cs="宋体"/>
          <w:b/>
          <w:szCs w:val="21"/>
          <w:u w:val="single"/>
          <w:lang w:bidi="ar"/>
        </w:rPr>
        <w:t xml:space="preserve">  广东省广裕集团阳春实业有限公司  </w:t>
      </w:r>
    </w:p>
    <w:p>
      <w:pPr>
        <w:spacing w:line="360" w:lineRule="auto"/>
        <w:rPr>
          <w:rFonts w:ascii="宋体" w:hAnsi="宋体" w:cs="宋体"/>
          <w:szCs w:val="21"/>
        </w:rPr>
      </w:pPr>
      <w:r>
        <w:rPr>
          <w:rFonts w:hint="eastAsia" w:ascii="宋体" w:hAnsi="宋体" w:cs="宋体"/>
          <w:szCs w:val="21"/>
          <w:lang w:bidi="ar"/>
        </w:rPr>
        <w:t>电    话： 0662-7806119  传  真：           地  址：广东省松柏镇阳春监狱一号大院</w:t>
      </w:r>
    </w:p>
    <w:p>
      <w:pPr>
        <w:spacing w:line="360" w:lineRule="auto"/>
        <w:rPr>
          <w:rFonts w:ascii="宋体" w:hAnsi="宋体" w:cs="宋体"/>
          <w:b/>
          <w:szCs w:val="21"/>
        </w:rPr>
      </w:pPr>
      <w:r>
        <w:rPr>
          <w:rFonts w:hint="eastAsia" w:ascii="宋体" w:hAnsi="宋体" w:cs="宋体"/>
          <w:b/>
          <w:szCs w:val="21"/>
          <w:lang w:bidi="ar"/>
        </w:rPr>
        <w:t>乙    方</w:t>
      </w:r>
      <w:r>
        <w:rPr>
          <w:rFonts w:hint="eastAsia" w:ascii="宋体" w:hAnsi="宋体" w:cs="宋体"/>
          <w:szCs w:val="21"/>
          <w:lang w:bidi="ar"/>
        </w:rPr>
        <w:t>（成交供应商）</w:t>
      </w:r>
      <w:r>
        <w:rPr>
          <w:rFonts w:hint="eastAsia" w:ascii="宋体" w:hAnsi="宋体" w:cs="宋体"/>
          <w:b/>
          <w:szCs w:val="21"/>
          <w:lang w:bidi="ar"/>
        </w:rPr>
        <w:t>：</w:t>
      </w:r>
    </w:p>
    <w:p>
      <w:pPr>
        <w:spacing w:line="360" w:lineRule="auto"/>
        <w:rPr>
          <w:rFonts w:ascii="宋体" w:hAnsi="宋体" w:cs="宋体"/>
          <w:szCs w:val="21"/>
        </w:rPr>
      </w:pPr>
      <w:r>
        <w:rPr>
          <w:rFonts w:hint="eastAsia" w:ascii="宋体" w:hAnsi="宋体" w:cs="宋体"/>
          <w:szCs w:val="21"/>
          <w:lang w:bidi="ar"/>
        </w:rPr>
        <w:t>电    话：       传  真：     地  址：</w:t>
      </w:r>
    </w:p>
    <w:p>
      <w:pPr>
        <w:rPr>
          <w:rFonts w:hint="eastAsia" w:ascii="宋体" w:hAnsi="宋体" w:eastAsia="宋体" w:cs="宋体"/>
          <w:szCs w:val="21"/>
          <w:lang w:eastAsia="zh-CN" w:bidi="ar"/>
        </w:rPr>
      </w:pPr>
      <w:r>
        <w:rPr>
          <w:rFonts w:hint="eastAsia" w:ascii="宋体" w:hAnsi="宋体" w:cs="宋体"/>
          <w:szCs w:val="21"/>
          <w:lang w:bidi="ar"/>
        </w:rPr>
        <w:t>项目名称：</w:t>
      </w:r>
      <w:r>
        <w:rPr>
          <w:rFonts w:hint="eastAsia" w:ascii="宋体" w:hAnsi="宋体" w:cs="宋体"/>
          <w:szCs w:val="21"/>
          <w:lang w:eastAsia="zh-CN" w:bidi="ar"/>
        </w:rPr>
        <w:t>广东省广裕集团阳春实业有限公司生产区绿化带砌花基项目（第三次竞价）</w:t>
      </w:r>
    </w:p>
    <w:p>
      <w:pPr>
        <w:rPr>
          <w:rFonts w:ascii="宋体" w:hAnsi="宋体" w:cs="宋体"/>
          <w:szCs w:val="21"/>
        </w:rPr>
      </w:pPr>
      <w:r>
        <w:rPr>
          <w:rFonts w:hint="eastAsia" w:ascii="宋体" w:hAnsi="宋体" w:cs="宋体"/>
          <w:szCs w:val="21"/>
          <w:lang w:bidi="ar"/>
        </w:rPr>
        <w:t>项目编号：</w:t>
      </w:r>
    </w:p>
    <w:p>
      <w:pPr>
        <w:spacing w:line="360" w:lineRule="auto"/>
        <w:rPr>
          <w:rFonts w:ascii="宋体" w:hAnsi="宋体" w:cs="宋体"/>
          <w:szCs w:val="21"/>
        </w:rPr>
      </w:pPr>
    </w:p>
    <w:p>
      <w:pPr>
        <w:tabs>
          <w:tab w:val="left" w:pos="567"/>
        </w:tabs>
        <w:snapToGrid w:val="0"/>
        <w:spacing w:line="360" w:lineRule="auto"/>
        <w:ind w:left="-420" w:leftChars="-200" w:firstLine="420" w:firstLineChars="200"/>
        <w:rPr>
          <w:rFonts w:ascii="宋体" w:hAnsi="宋体" w:cs="宋体"/>
          <w:szCs w:val="21"/>
        </w:rPr>
      </w:pPr>
      <w:r>
        <w:rPr>
          <w:rFonts w:hint="eastAsia" w:ascii="宋体" w:hAnsi="宋体" w:cs="宋体"/>
          <w:szCs w:val="21"/>
          <w:lang w:bidi="ar"/>
        </w:rPr>
        <w:t>根据  （</w:t>
      </w:r>
      <w:r>
        <w:rPr>
          <w:rFonts w:hint="eastAsia" w:ascii="宋体" w:hAnsi="宋体" w:cs="宋体"/>
          <w:szCs w:val="21"/>
          <w:lang w:eastAsia="zh-CN" w:bidi="ar"/>
        </w:rPr>
        <w:t>广东省广裕集团阳春实业有限公司生产区绿化带砌花基项目（第三次竞价）</w:t>
      </w:r>
      <w:r>
        <w:rPr>
          <w:rFonts w:hint="eastAsia" w:ascii="宋体" w:hAnsi="宋体" w:cs="宋体"/>
          <w:szCs w:val="21"/>
          <w:lang w:bidi="ar"/>
        </w:rPr>
        <w:t>）  （项目编号： ）的采购结果，按照《中华人民共和国政府采购法》及其实施条例、《政府采购非招标采购方式管理办法》、《中华人民共和国民法典》的规定，经双方协商，本着平等互利和诚实信用的原则，一致同意签订本合同如下。</w:t>
      </w:r>
    </w:p>
    <w:p>
      <w:pPr>
        <w:pStyle w:val="3"/>
        <w:numPr>
          <w:ilvl w:val="0"/>
          <w:numId w:val="22"/>
        </w:numPr>
        <w:rPr>
          <w:rFonts w:ascii="宋体" w:hAnsi="宋体" w:cs="宋体"/>
        </w:rPr>
      </w:pPr>
      <w:r>
        <w:rPr>
          <w:rFonts w:hint="eastAsia" w:ascii="宋体" w:hAnsi="宋体" w:cs="宋体"/>
        </w:rPr>
        <w:t>项目概况</w:t>
      </w:r>
    </w:p>
    <w:p>
      <w:pPr>
        <w:pStyle w:val="23"/>
        <w:widowControl w:val="0"/>
        <w:numPr>
          <w:ilvl w:val="0"/>
          <w:numId w:val="23"/>
        </w:numPr>
        <w:tabs>
          <w:tab w:val="left" w:pos="540"/>
        </w:tabs>
        <w:adjustRightInd w:val="0"/>
        <w:snapToGrid w:val="0"/>
        <w:spacing w:before="0" w:beforeAutospacing="0" w:after="0" w:afterAutospacing="0" w:line="360" w:lineRule="auto"/>
        <w:ind w:firstLine="422" w:firstLineChars="200"/>
        <w:jc w:val="both"/>
        <w:rPr>
          <w:b/>
          <w:bCs/>
          <w:sz w:val="21"/>
          <w:szCs w:val="21"/>
        </w:rPr>
      </w:pPr>
      <w:r>
        <w:rPr>
          <w:rFonts w:hint="eastAsia"/>
          <w:b/>
          <w:bCs/>
          <w:kern w:val="2"/>
          <w:sz w:val="21"/>
          <w:szCs w:val="21"/>
          <w:lang w:bidi="ar"/>
        </w:rPr>
        <w:t>采购项目工程内容：</w:t>
      </w:r>
    </w:p>
    <w:p>
      <w:pPr>
        <w:spacing w:line="360" w:lineRule="auto"/>
        <w:ind w:firstLine="420" w:firstLineChars="200"/>
        <w:rPr>
          <w:rFonts w:ascii="宋体" w:hAnsi="宋体" w:cs="宋体"/>
          <w:szCs w:val="21"/>
        </w:rPr>
      </w:pPr>
      <w:r>
        <w:rPr>
          <w:rFonts w:hint="eastAsia" w:ascii="宋体" w:hAnsi="宋体" w:cs="宋体"/>
          <w:szCs w:val="21"/>
          <w:lang w:bidi="ar"/>
        </w:rPr>
        <w:t>甲方拟对</w:t>
      </w:r>
      <w:r>
        <w:rPr>
          <w:rFonts w:hint="eastAsia" w:ascii="宋体" w:hAnsi="宋体" w:cs="宋体"/>
          <w:bCs/>
          <w:szCs w:val="21"/>
          <w:lang w:bidi="ar"/>
        </w:rPr>
        <w:t>生产区绿化带破损的水泥花基拆除，新建花岗岩路缘石花基等内容</w:t>
      </w:r>
      <w:r>
        <w:rPr>
          <w:rFonts w:hint="eastAsia" w:ascii="宋体" w:hAnsi="宋体" w:cs="宋体"/>
          <w:szCs w:val="21"/>
          <w:lang w:bidi="ar"/>
        </w:rPr>
        <w:t>。工程具体清单以施工图纸、工程量清单及有关资料为准。</w:t>
      </w:r>
    </w:p>
    <w:p>
      <w:pPr>
        <w:numPr>
          <w:ilvl w:val="0"/>
          <w:numId w:val="23"/>
        </w:numPr>
        <w:spacing w:line="360" w:lineRule="auto"/>
        <w:ind w:firstLine="422" w:firstLineChars="200"/>
        <w:rPr>
          <w:rFonts w:ascii="宋体" w:hAnsi="宋体" w:cs="宋体"/>
          <w:b/>
          <w:bCs/>
          <w:szCs w:val="21"/>
        </w:rPr>
      </w:pPr>
      <w:r>
        <w:rPr>
          <w:rFonts w:hint="eastAsia" w:ascii="宋体" w:hAnsi="宋体" w:cs="宋体"/>
          <w:b/>
          <w:bCs/>
          <w:szCs w:val="21"/>
          <w:lang w:bidi="ar"/>
        </w:rPr>
        <w:t>承包方式：</w:t>
      </w:r>
    </w:p>
    <w:p>
      <w:pPr>
        <w:spacing w:line="360" w:lineRule="auto"/>
        <w:ind w:firstLine="420" w:firstLineChars="200"/>
        <w:rPr>
          <w:rFonts w:ascii="宋体" w:hAnsi="宋体" w:cs="宋体"/>
          <w:szCs w:val="21"/>
        </w:rPr>
      </w:pPr>
      <w:r>
        <w:rPr>
          <w:rFonts w:hint="eastAsia" w:ascii="宋体" w:hAnsi="宋体" w:cs="宋体"/>
          <w:szCs w:val="21"/>
          <w:lang w:bidi="ar"/>
        </w:rPr>
        <w:t>合同价为人民币含税包干价，乙方根据有关设计图纸、资料及说明，按包工、包料、包机械、包工期、包质量、包安全生产、包文明施工、包劳保、包验收、包联动调试、包竣工验收以及施工总承包管理配合服务等方式完成工程的一切费用。乙方作为规范成熟的服务方能出现的估算错误及漏项，承担相应后果。</w:t>
      </w:r>
    </w:p>
    <w:p>
      <w:pPr>
        <w:pStyle w:val="13"/>
        <w:widowControl/>
        <w:spacing w:line="360" w:lineRule="auto"/>
        <w:ind w:firstLine="420" w:firstLineChars="200"/>
        <w:rPr>
          <w:rFonts w:ascii="宋体" w:hAnsi="宋体" w:cs="宋体"/>
          <w:szCs w:val="21"/>
        </w:rPr>
      </w:pPr>
      <w:r>
        <w:rPr>
          <w:rFonts w:hint="eastAsia" w:ascii="宋体" w:hAnsi="宋体" w:cs="宋体"/>
          <w:szCs w:val="21"/>
        </w:rPr>
        <w:t>甲方根据工程实施情况或政府相关部门对该工程的相关建设要求，会对乙方的承包范围进行局部适当调整，乙方不得因此提出任何索赔或补偿。</w:t>
      </w:r>
    </w:p>
    <w:p>
      <w:pPr>
        <w:pStyle w:val="3"/>
        <w:numPr>
          <w:ilvl w:val="0"/>
          <w:numId w:val="22"/>
        </w:numPr>
        <w:rPr>
          <w:rFonts w:ascii="宋体" w:hAnsi="宋体" w:cs="宋体"/>
        </w:rPr>
      </w:pPr>
      <w:r>
        <w:rPr>
          <w:rFonts w:hint="eastAsia" w:ascii="宋体" w:hAnsi="宋体" w:cs="宋体"/>
        </w:rPr>
        <w:t>采购项目施工要求</w:t>
      </w:r>
    </w:p>
    <w:p>
      <w:pPr>
        <w:numPr>
          <w:ilvl w:val="0"/>
          <w:numId w:val="24"/>
        </w:numPr>
        <w:spacing w:line="360" w:lineRule="auto"/>
        <w:rPr>
          <w:rFonts w:ascii="宋体" w:hAnsi="宋体" w:cs="宋体"/>
          <w:szCs w:val="21"/>
        </w:rPr>
      </w:pPr>
      <w:r>
        <w:rPr>
          <w:rFonts w:hint="eastAsia" w:ascii="宋体" w:hAnsi="宋体" w:cs="宋体"/>
          <w:szCs w:val="21"/>
          <w:lang w:bidi="ar"/>
        </w:rPr>
        <w:t>乙方在施工期间应严格遵守《中华人民共和国安全生产法》（国家主席70号令）、《建设工程安全生产管理条例》（中华人民共和国国务院令第393号）以及文明施工，建立规章制度和防护措施。若违反以上规定，由此造成的经济和法律责任，均由乙方负责。</w:t>
      </w:r>
    </w:p>
    <w:p>
      <w:pPr>
        <w:numPr>
          <w:ilvl w:val="0"/>
          <w:numId w:val="24"/>
        </w:numPr>
        <w:adjustRightInd w:val="0"/>
        <w:snapToGrid w:val="0"/>
        <w:spacing w:line="360" w:lineRule="auto"/>
        <w:rPr>
          <w:rFonts w:ascii="宋体" w:hAnsi="宋体" w:cs="宋体"/>
          <w:szCs w:val="21"/>
        </w:rPr>
      </w:pPr>
      <w:r>
        <w:rPr>
          <w:rFonts w:hint="eastAsia" w:ascii="宋体" w:hAnsi="宋体" w:cs="宋体"/>
          <w:szCs w:val="21"/>
          <w:lang w:bidi="ar"/>
        </w:rPr>
        <w:t>合同约定的工程项目，乙方不得转包、分包。否则，甲方有权单方面终止合同，并令其退场，由此而造成直接经济损失由乙方负责赔偿，履约保证金不予以退还。</w:t>
      </w:r>
    </w:p>
    <w:p>
      <w:pPr>
        <w:numPr>
          <w:ilvl w:val="0"/>
          <w:numId w:val="24"/>
        </w:numPr>
        <w:adjustRightInd w:val="0"/>
        <w:snapToGrid w:val="0"/>
        <w:spacing w:line="360" w:lineRule="auto"/>
        <w:rPr>
          <w:rFonts w:ascii="宋体" w:hAnsi="宋体" w:cs="宋体"/>
          <w:szCs w:val="21"/>
        </w:rPr>
      </w:pPr>
      <w:r>
        <w:rPr>
          <w:rFonts w:hint="eastAsia" w:ascii="宋体" w:hAnsi="宋体" w:cs="宋体"/>
          <w:szCs w:val="21"/>
          <w:lang w:bidi="ar"/>
        </w:rPr>
        <w:t>施工期间乙方必须遵守甲方单位的管理制度，安装所需工具设施由乙方自备、自费运到现场，安排人员看管，收工后全部带出监管区，安装时须对各安装场地内的其他设备、设施有良好保护措施，如有损坏，所有费用由乙方承担。</w:t>
      </w:r>
    </w:p>
    <w:p>
      <w:pPr>
        <w:numPr>
          <w:ilvl w:val="0"/>
          <w:numId w:val="24"/>
        </w:numPr>
        <w:adjustRightInd w:val="0"/>
        <w:snapToGrid w:val="0"/>
        <w:spacing w:line="360" w:lineRule="auto"/>
        <w:rPr>
          <w:rFonts w:ascii="宋体" w:hAnsi="宋体" w:cs="宋体"/>
          <w:szCs w:val="21"/>
        </w:rPr>
      </w:pPr>
      <w:r>
        <w:rPr>
          <w:rFonts w:hint="eastAsia" w:ascii="宋体" w:hAnsi="宋体" w:cs="宋体"/>
          <w:szCs w:val="21"/>
          <w:lang w:bidi="ar"/>
        </w:rPr>
        <w:t>乙方必须委派一名项目负责人全程跟进施工情况，直至施工完毕。</w:t>
      </w:r>
    </w:p>
    <w:p>
      <w:pPr>
        <w:numPr>
          <w:ilvl w:val="0"/>
          <w:numId w:val="24"/>
        </w:numPr>
        <w:spacing w:line="360" w:lineRule="auto"/>
        <w:rPr>
          <w:rFonts w:ascii="宋体" w:hAnsi="宋体" w:cs="宋体"/>
          <w:szCs w:val="21"/>
        </w:rPr>
      </w:pPr>
      <w:r>
        <w:rPr>
          <w:rFonts w:hint="eastAsia" w:ascii="宋体" w:hAnsi="宋体" w:cs="宋体"/>
          <w:szCs w:val="21"/>
          <w:lang w:bidi="ar"/>
        </w:rPr>
        <w:t>乙方必须服从建设单位的现场管理要求，遵守保密制度，不得随意拍照，不得上传互联网。</w:t>
      </w:r>
    </w:p>
    <w:p>
      <w:pPr>
        <w:numPr>
          <w:ilvl w:val="0"/>
          <w:numId w:val="24"/>
        </w:numPr>
        <w:spacing w:line="360" w:lineRule="auto"/>
        <w:rPr>
          <w:rFonts w:ascii="宋体" w:hAnsi="宋体" w:cs="宋体"/>
          <w:szCs w:val="21"/>
        </w:rPr>
      </w:pPr>
      <w:r>
        <w:rPr>
          <w:rFonts w:hint="eastAsia" w:ascii="宋体" w:hAnsi="宋体" w:cs="宋体"/>
          <w:szCs w:val="21"/>
          <w:lang w:bidi="ar"/>
        </w:rPr>
        <w:t>因施工造成的损坏由乙方恢复原状。</w:t>
      </w:r>
    </w:p>
    <w:p>
      <w:pPr>
        <w:numPr>
          <w:ilvl w:val="0"/>
          <w:numId w:val="24"/>
        </w:numPr>
        <w:spacing w:line="360" w:lineRule="auto"/>
        <w:rPr>
          <w:rFonts w:ascii="宋体" w:hAnsi="宋体" w:cs="宋体"/>
          <w:szCs w:val="21"/>
        </w:rPr>
      </w:pPr>
      <w:r>
        <w:rPr>
          <w:rFonts w:hint="eastAsia" w:ascii="宋体" w:hAnsi="宋体" w:cs="宋体"/>
          <w:szCs w:val="21"/>
          <w:lang w:bidi="ar"/>
        </w:rPr>
        <w:t>工人在进行施工时，必须要头戴安全帽，施工人员应该要穿上特定的荧光外套。以便提醒过往的车辆和行人，并且高处施工不允许有异物的坠落，以免对过往的车辆和行人造成意外伤害。</w:t>
      </w:r>
    </w:p>
    <w:p>
      <w:pPr>
        <w:numPr>
          <w:ilvl w:val="0"/>
          <w:numId w:val="24"/>
        </w:numPr>
        <w:spacing w:line="360" w:lineRule="auto"/>
        <w:rPr>
          <w:rFonts w:ascii="宋体" w:hAnsi="宋体" w:cs="宋体"/>
          <w:szCs w:val="21"/>
        </w:rPr>
      </w:pPr>
      <w:r>
        <w:rPr>
          <w:rFonts w:hint="eastAsia" w:ascii="宋体" w:hAnsi="宋体" w:cs="宋体"/>
          <w:szCs w:val="21"/>
          <w:lang w:bidi="ar"/>
        </w:rPr>
        <w:t>乙方在进行项目实施过程中必须遵循国家相关通用标准和行业规范；遵循相关防火、环保要求；乙方必须负责安装实施过程中产生的垃圾处理及相关费用。如有违反，一切责任均由乙方承担。</w:t>
      </w:r>
    </w:p>
    <w:p>
      <w:pPr>
        <w:numPr>
          <w:ilvl w:val="0"/>
          <w:numId w:val="24"/>
        </w:numPr>
        <w:spacing w:line="360" w:lineRule="auto"/>
        <w:rPr>
          <w:rFonts w:ascii="宋体" w:hAnsi="宋体" w:cs="宋体"/>
          <w:szCs w:val="21"/>
        </w:rPr>
      </w:pPr>
      <w:r>
        <w:rPr>
          <w:rFonts w:hint="eastAsia" w:ascii="宋体" w:hAnsi="宋体" w:cs="宋体"/>
          <w:szCs w:val="21"/>
          <w:lang w:bidi="ar"/>
        </w:rPr>
        <w:t>施工安全包括操作安全、安装人员安全由乙方全部负责管理，因施工造成的一切损失包括经济损失，全部由乙方自行承担，与甲方无关。</w:t>
      </w:r>
    </w:p>
    <w:p>
      <w:pPr>
        <w:numPr>
          <w:ilvl w:val="0"/>
          <w:numId w:val="24"/>
        </w:numPr>
        <w:spacing w:line="360" w:lineRule="auto"/>
        <w:rPr>
          <w:rFonts w:ascii="宋体" w:hAnsi="宋体" w:cs="宋体"/>
          <w:szCs w:val="21"/>
        </w:rPr>
      </w:pPr>
      <w:r>
        <w:rPr>
          <w:rFonts w:hint="eastAsia" w:ascii="宋体" w:hAnsi="宋体" w:cs="宋体"/>
          <w:szCs w:val="21"/>
          <w:lang w:bidi="ar"/>
        </w:rPr>
        <w:t>由于本工程项目需尽快实施，乙方务必响应及配合甲方的施工时长的服务需求，由此产生的一切经济费用由乙方自行承担。</w:t>
      </w:r>
    </w:p>
    <w:p>
      <w:pPr>
        <w:pStyle w:val="3"/>
        <w:numPr>
          <w:ilvl w:val="0"/>
          <w:numId w:val="22"/>
        </w:numPr>
        <w:rPr>
          <w:rFonts w:ascii="宋体" w:hAnsi="宋体" w:cs="宋体"/>
        </w:rPr>
      </w:pPr>
      <w:r>
        <w:rPr>
          <w:rFonts w:hint="eastAsia" w:ascii="宋体" w:hAnsi="宋体" w:cs="宋体"/>
        </w:rPr>
        <w:t>工程质量及验收要求</w:t>
      </w:r>
    </w:p>
    <w:p>
      <w:pPr>
        <w:numPr>
          <w:ilvl w:val="0"/>
          <w:numId w:val="25"/>
        </w:numPr>
        <w:spacing w:line="360" w:lineRule="auto"/>
        <w:rPr>
          <w:rFonts w:ascii="宋体" w:hAnsi="宋体" w:cs="宋体"/>
          <w:szCs w:val="21"/>
        </w:rPr>
      </w:pPr>
      <w:r>
        <w:rPr>
          <w:rFonts w:hint="eastAsia" w:ascii="宋体" w:hAnsi="宋体" w:cs="宋体"/>
          <w:szCs w:val="21"/>
          <w:lang w:bidi="ar"/>
        </w:rPr>
        <w:t>本工程以施工图纸、设计变更和《建筑装饰装修施工质量验收规范》（GB 50210-2018）、《建筑工程施工质量验收评定统一标准》（GB 50300-2013）等国家制订的施工及验收规范为质量评定验收标准，并达到合格标准。</w:t>
      </w:r>
    </w:p>
    <w:p>
      <w:pPr>
        <w:numPr>
          <w:ilvl w:val="0"/>
          <w:numId w:val="25"/>
        </w:numPr>
        <w:adjustRightInd w:val="0"/>
        <w:snapToGrid w:val="0"/>
        <w:spacing w:line="360" w:lineRule="auto"/>
        <w:rPr>
          <w:rFonts w:ascii="宋体" w:hAnsi="宋体" w:cs="宋体"/>
          <w:szCs w:val="21"/>
        </w:rPr>
      </w:pPr>
      <w:r>
        <w:rPr>
          <w:rFonts w:hint="eastAsia" w:ascii="宋体" w:hAnsi="宋体" w:cs="宋体"/>
          <w:szCs w:val="21"/>
          <w:lang w:bidi="ar"/>
        </w:rPr>
        <w:t>工程竣工后，乙方按规定整理提供完整的技术档案资料并发出竣工通知书经双方协商确定验收时间，甲方在双方确定的验收时间内组织验收，并办理验收、移交手续。如甲方在规定时间内未能组织验收，需及时通知乙方，另定验收日期。若验收不合格，乙方在甲方限定时间内修改后重新验收，并承担由于修改而产生的费用。工期不予顺延，竣工日期以最后检验合格的日期为准。</w:t>
      </w:r>
    </w:p>
    <w:p>
      <w:pPr>
        <w:numPr>
          <w:ilvl w:val="0"/>
          <w:numId w:val="25"/>
        </w:numPr>
        <w:adjustRightInd w:val="0"/>
        <w:snapToGrid w:val="0"/>
        <w:spacing w:line="360" w:lineRule="auto"/>
        <w:rPr>
          <w:rFonts w:ascii="宋体" w:hAnsi="宋体" w:cs="宋体"/>
          <w:szCs w:val="21"/>
        </w:rPr>
      </w:pPr>
      <w:r>
        <w:rPr>
          <w:rFonts w:hint="eastAsia" w:ascii="宋体" w:hAnsi="宋体" w:cs="宋体"/>
          <w:szCs w:val="21"/>
          <w:lang w:bidi="ar"/>
        </w:rPr>
        <w:t>工程竣工验收，应以施工图纸、国家颁发的施工验收规范和质量检验标准为依据。</w:t>
      </w:r>
    </w:p>
    <w:p>
      <w:pPr>
        <w:numPr>
          <w:ilvl w:val="0"/>
          <w:numId w:val="25"/>
        </w:numPr>
        <w:adjustRightInd w:val="0"/>
        <w:snapToGrid w:val="0"/>
        <w:spacing w:line="360" w:lineRule="auto"/>
        <w:rPr>
          <w:rFonts w:ascii="宋体" w:hAnsi="宋体" w:cs="宋体"/>
          <w:szCs w:val="21"/>
        </w:rPr>
      </w:pPr>
      <w:r>
        <w:rPr>
          <w:rFonts w:hint="eastAsia" w:ascii="宋体" w:hAnsi="宋体" w:cs="宋体"/>
          <w:szCs w:val="21"/>
          <w:lang w:bidi="ar"/>
        </w:rPr>
        <w:t>因乙方原因造成工程质量达不到合同约定验收标准的，甲方有权要求乙方返工直至符合合同要求为止，由此造成的费用增加和（或）工期延误由乙方承担。</w:t>
      </w:r>
    </w:p>
    <w:p>
      <w:pPr>
        <w:pStyle w:val="3"/>
        <w:numPr>
          <w:ilvl w:val="0"/>
          <w:numId w:val="22"/>
        </w:numPr>
        <w:rPr>
          <w:rFonts w:ascii="宋体" w:hAnsi="宋体" w:cs="宋体"/>
        </w:rPr>
      </w:pPr>
      <w:r>
        <w:rPr>
          <w:rFonts w:hint="eastAsia" w:ascii="宋体" w:hAnsi="宋体" w:cs="宋体"/>
        </w:rPr>
        <w:t>质保期限及质量保证金</w:t>
      </w:r>
    </w:p>
    <w:p>
      <w:pPr>
        <w:numPr>
          <w:ilvl w:val="0"/>
          <w:numId w:val="26"/>
        </w:numPr>
        <w:spacing w:line="360" w:lineRule="auto"/>
        <w:rPr>
          <w:rFonts w:ascii="宋体" w:hAnsi="宋体" w:cs="宋体"/>
          <w:szCs w:val="21"/>
        </w:rPr>
      </w:pPr>
      <w:r>
        <w:rPr>
          <w:rFonts w:hint="eastAsia" w:ascii="宋体" w:hAnsi="宋体" w:cs="宋体"/>
          <w:b/>
          <w:bCs/>
          <w:szCs w:val="21"/>
          <w:lang w:bidi="ar"/>
        </w:rPr>
        <w:t>质保期限：</w:t>
      </w:r>
      <w:r>
        <w:rPr>
          <w:rFonts w:hint="eastAsia" w:ascii="宋体" w:hAnsi="宋体" w:cs="宋体"/>
          <w:szCs w:val="21"/>
          <w:lang w:bidi="ar"/>
        </w:rPr>
        <w:t>1年，自竣工验收合格次日起计算。</w:t>
      </w:r>
    </w:p>
    <w:p>
      <w:pPr>
        <w:numPr>
          <w:ilvl w:val="0"/>
          <w:numId w:val="26"/>
        </w:numPr>
        <w:spacing w:line="360" w:lineRule="auto"/>
        <w:rPr>
          <w:rFonts w:ascii="宋体" w:hAnsi="宋体" w:cs="宋体"/>
          <w:szCs w:val="21"/>
        </w:rPr>
      </w:pPr>
      <w:r>
        <w:rPr>
          <w:rFonts w:hint="eastAsia" w:ascii="宋体" w:hAnsi="宋体" w:cs="宋体"/>
          <w:b/>
          <w:bCs/>
          <w:szCs w:val="21"/>
          <w:lang w:bidi="ar"/>
        </w:rPr>
        <w:t>质量保证金：</w:t>
      </w:r>
      <w:r>
        <w:rPr>
          <w:rFonts w:hint="eastAsia" w:ascii="宋体" w:hAnsi="宋体" w:cs="宋体"/>
          <w:szCs w:val="21"/>
          <w:lang w:bidi="ar"/>
        </w:rPr>
        <w:t>乙方在合同签订之日起10个工作日内通过银行转账方式向甲方支付合同价的5%作为履约保证金，竣工经验收合格后，履约保证金转为质量保证金，质保期内工程没有质量问题，期满后甲方根据乙方提供的凭证一个月内不计息退还。</w:t>
      </w:r>
    </w:p>
    <w:p>
      <w:pPr>
        <w:spacing w:line="360" w:lineRule="auto"/>
        <w:ind w:firstLine="420" w:firstLineChars="200"/>
        <w:rPr>
          <w:rFonts w:ascii="宋体" w:hAnsi="宋体"/>
        </w:rPr>
      </w:pPr>
      <w:r>
        <w:rPr>
          <w:rFonts w:hint="eastAsia" w:ascii="宋体" w:hAnsi="宋体"/>
        </w:rPr>
        <w:t>（甲方）账户名称：广东省广裕集团阳春实业有限公司</w:t>
      </w:r>
    </w:p>
    <w:p>
      <w:pPr>
        <w:spacing w:line="360" w:lineRule="auto"/>
        <w:ind w:firstLine="420" w:firstLineChars="200"/>
        <w:rPr>
          <w:rFonts w:ascii="宋体" w:hAnsi="宋体"/>
        </w:rPr>
      </w:pPr>
      <w:r>
        <w:rPr>
          <w:rFonts w:hint="eastAsia" w:ascii="宋体" w:hAnsi="宋体"/>
        </w:rPr>
        <w:t>开户行：中国农业银行春湾支行</w:t>
      </w:r>
    </w:p>
    <w:p>
      <w:pPr>
        <w:widowControl/>
        <w:numPr>
          <w:ilvl w:val="255"/>
          <w:numId w:val="0"/>
        </w:numPr>
        <w:spacing w:line="360" w:lineRule="auto"/>
        <w:ind w:firstLine="420" w:firstLineChars="200"/>
        <w:jc w:val="left"/>
        <w:rPr>
          <w:rFonts w:ascii="宋体" w:hAnsi="宋体" w:cs="宋体"/>
          <w:szCs w:val="21"/>
        </w:rPr>
      </w:pPr>
      <w:r>
        <w:rPr>
          <w:rFonts w:hint="eastAsia" w:ascii="宋体" w:hAnsi="宋体"/>
        </w:rPr>
        <w:t>开户行账号：</w:t>
      </w:r>
      <w:r>
        <w:rPr>
          <w:rFonts w:hint="eastAsia" w:ascii="宋体" w:hAnsi="宋体"/>
          <w:lang w:val="en-US" w:eastAsia="zh-CN"/>
        </w:rPr>
        <w:t>44</w:t>
      </w:r>
      <w:r>
        <w:rPr>
          <w:rFonts w:hint="eastAsia" w:ascii="宋体" w:hAnsi="宋体"/>
        </w:rPr>
        <w:t>554601040000338</w:t>
      </w:r>
    </w:p>
    <w:p>
      <w:pPr>
        <w:pStyle w:val="3"/>
        <w:numPr>
          <w:ilvl w:val="0"/>
          <w:numId w:val="22"/>
        </w:numPr>
        <w:rPr>
          <w:rFonts w:ascii="宋体" w:hAnsi="宋体" w:cs="宋体"/>
        </w:rPr>
      </w:pPr>
      <w:r>
        <w:rPr>
          <w:rFonts w:hint="eastAsia" w:ascii="宋体" w:hAnsi="宋体" w:cs="宋体"/>
        </w:rPr>
        <w:t>付款方式</w:t>
      </w:r>
    </w:p>
    <w:p>
      <w:pPr>
        <w:spacing w:line="360" w:lineRule="auto"/>
        <w:ind w:firstLine="420" w:firstLineChars="200"/>
        <w:rPr>
          <w:rFonts w:ascii="宋体" w:hAnsi="宋体" w:cs="宋体"/>
          <w:szCs w:val="21"/>
        </w:rPr>
      </w:pPr>
      <w:r>
        <w:rPr>
          <w:rFonts w:hint="eastAsia" w:ascii="宋体" w:hAnsi="宋体" w:cs="宋体"/>
          <w:szCs w:val="21"/>
          <w:lang w:bidi="ar"/>
        </w:rPr>
        <w:t xml:space="preserve">项目竣工验收合格及结算审核完成，乙方开具增值税专用发票后，甲方在30个工作日内通过银行转帐方式支付合同价款的100%。 </w:t>
      </w:r>
    </w:p>
    <w:p>
      <w:pPr>
        <w:pStyle w:val="3"/>
        <w:numPr>
          <w:ilvl w:val="0"/>
          <w:numId w:val="22"/>
        </w:numPr>
        <w:rPr>
          <w:rFonts w:ascii="宋体" w:hAnsi="宋体" w:cs="宋体"/>
        </w:rPr>
      </w:pPr>
      <w:r>
        <w:rPr>
          <w:rFonts w:hint="eastAsia" w:ascii="宋体" w:hAnsi="宋体" w:cs="宋体"/>
        </w:rPr>
        <w:t>违约责任与赔偿损失</w:t>
      </w:r>
    </w:p>
    <w:p>
      <w:pPr>
        <w:numPr>
          <w:ilvl w:val="0"/>
          <w:numId w:val="27"/>
        </w:numPr>
        <w:spacing w:line="360" w:lineRule="auto"/>
        <w:rPr>
          <w:rFonts w:ascii="宋体" w:hAnsi="宋体" w:cs="宋体"/>
          <w:szCs w:val="21"/>
        </w:rPr>
      </w:pPr>
      <w:r>
        <w:rPr>
          <w:rFonts w:hint="eastAsia" w:ascii="宋体" w:hAnsi="宋体" w:cs="宋体"/>
          <w:szCs w:val="21"/>
          <w:lang w:bidi="ar"/>
        </w:rPr>
        <w:t>乙方提供经监理或甲方单位审定的施工组织计划，如未按施工组织计划时限完成相应阶段工作，甲方视情况给予相应的处罚。责令整改时限，应在处罚通知书下发一周内完成规定时限的阶段性工作，否则从超期第一天起，每天罚没合同价格的1‱</w:t>
      </w:r>
    </w:p>
    <w:p>
      <w:pPr>
        <w:numPr>
          <w:ilvl w:val="0"/>
          <w:numId w:val="28"/>
        </w:numPr>
        <w:spacing w:line="360" w:lineRule="auto"/>
        <w:ind w:firstLine="420" w:firstLineChars="200"/>
        <w:rPr>
          <w:rFonts w:ascii="宋体" w:hAnsi="宋体" w:cs="宋体"/>
          <w:szCs w:val="21"/>
          <w:lang w:bidi="ar"/>
        </w:rPr>
      </w:pPr>
      <w:r>
        <w:rPr>
          <w:rFonts w:hint="eastAsia" w:ascii="宋体" w:hAnsi="宋体" w:cs="宋体"/>
          <w:szCs w:val="21"/>
          <w:lang w:bidi="ar"/>
        </w:rPr>
        <w:t>当整个施工期间扣罚比例累计超过合同价格的3%时，甲方有权终止合同并扣罚履约保证金，并要求乙方赔偿甲方的一切损失。若各阶段工期出现延误被扣罚合同款，而乙方最终仍能够确保在合同工期完成项目进度的情况，甲方将在项目验收时返还已被扣罚的款项。乙方交付的货物、服务不符合竞价文件、响应文件或合同规定的，甲方有权拒收，并且乙方须向甲方支付本合同总价5%以上的违约金。</w:t>
      </w:r>
    </w:p>
    <w:p>
      <w:pPr>
        <w:numPr>
          <w:ilvl w:val="0"/>
          <w:numId w:val="28"/>
        </w:numPr>
        <w:spacing w:line="360" w:lineRule="auto"/>
        <w:ind w:firstLine="420" w:firstLineChars="200"/>
        <w:rPr>
          <w:rFonts w:ascii="宋体" w:hAnsi="宋体" w:cs="宋体"/>
          <w:szCs w:val="21"/>
          <w:lang w:bidi="ar"/>
        </w:rPr>
      </w:pPr>
      <w:r>
        <w:rPr>
          <w:rFonts w:hint="eastAsia" w:ascii="宋体" w:hAnsi="宋体" w:cs="宋体"/>
          <w:szCs w:val="21"/>
          <w:lang w:bidi="ar"/>
        </w:rPr>
        <w:t>如乙方没有将工程款用于本工程，造成停工、窝工。甲方有权停付下一期工程进度款。乙方在甲方指正后如仍不改正，甲方有权单方面解除本合同，并要求乙方无条件无偿在甲方限期内退场，同时乙方应赔偿甲方损失。</w:t>
      </w:r>
    </w:p>
    <w:p>
      <w:pPr>
        <w:numPr>
          <w:ilvl w:val="0"/>
          <w:numId w:val="28"/>
        </w:numPr>
        <w:spacing w:line="360" w:lineRule="auto"/>
        <w:ind w:firstLine="420" w:firstLineChars="200"/>
        <w:rPr>
          <w:rFonts w:ascii="宋体" w:hAnsi="宋体" w:cs="宋体"/>
          <w:szCs w:val="21"/>
          <w:lang w:bidi="ar"/>
        </w:rPr>
      </w:pPr>
      <w:r>
        <w:rPr>
          <w:rFonts w:hint="eastAsia" w:ascii="宋体" w:hAnsi="宋体" w:cs="宋体"/>
          <w:szCs w:val="21"/>
          <w:lang w:bidi="ar"/>
        </w:rPr>
        <w:t>若发生乙方拖欠分包单位工程款或所属工人工资的情况，甲方有权在预先付给乙方的工程款中暂扣所拖欠的款项，直至乙方向其分包单位或所属工人付清应支付工程款为止。若发生此情况10天内，乙方仍未支付的，乙方在此承诺并同意甲方将所拖欠的款项直接支付给分包单位或所属工人，该代为支付的款项在工程结算款中扣除，乙方应甲方提供该款项的等额、有效的税务发票。</w:t>
      </w:r>
    </w:p>
    <w:p>
      <w:pPr>
        <w:numPr>
          <w:ilvl w:val="0"/>
          <w:numId w:val="27"/>
        </w:numPr>
        <w:spacing w:line="360" w:lineRule="auto"/>
        <w:rPr>
          <w:rFonts w:ascii="宋体" w:hAnsi="宋体" w:cs="宋体"/>
          <w:szCs w:val="21"/>
          <w:lang w:bidi="ar"/>
        </w:rPr>
      </w:pPr>
      <w:r>
        <w:rPr>
          <w:rFonts w:hint="eastAsia" w:ascii="宋体" w:hAnsi="宋体" w:cs="宋体"/>
          <w:szCs w:val="21"/>
          <w:lang w:bidi="ar"/>
        </w:rPr>
        <w:t>如因乙方原因发生工期延误情况，凡工期延误超过半年以上的，甲方将通告相关管理部门并录入不良行为记录，并对乙方按《省属监狱工程施工企业不良行为记录的管理办法》（试行）进行处罚。</w:t>
      </w:r>
    </w:p>
    <w:p>
      <w:pPr>
        <w:numPr>
          <w:ilvl w:val="0"/>
          <w:numId w:val="27"/>
        </w:numPr>
        <w:spacing w:line="360" w:lineRule="auto"/>
        <w:rPr>
          <w:rFonts w:ascii="宋体" w:hAnsi="宋体" w:cs="宋体"/>
          <w:szCs w:val="21"/>
          <w:lang w:bidi="ar"/>
        </w:rPr>
      </w:pPr>
      <w:r>
        <w:rPr>
          <w:rFonts w:hint="eastAsia" w:ascii="宋体" w:hAnsi="宋体" w:cs="宋体"/>
          <w:szCs w:val="21"/>
          <w:lang w:bidi="ar"/>
        </w:rPr>
        <w:t>其它违约责任《中华人民共和国民法典》处理。</w:t>
      </w:r>
    </w:p>
    <w:p>
      <w:pPr>
        <w:pStyle w:val="3"/>
        <w:numPr>
          <w:ilvl w:val="0"/>
          <w:numId w:val="22"/>
        </w:numPr>
        <w:rPr>
          <w:rFonts w:ascii="宋体" w:hAnsi="宋体" w:cs="宋体"/>
        </w:rPr>
      </w:pPr>
      <w:r>
        <w:rPr>
          <w:rFonts w:hint="eastAsia" w:ascii="宋体" w:hAnsi="宋体" w:cs="宋体"/>
        </w:rPr>
        <w:t>争议的解决</w:t>
      </w:r>
    </w:p>
    <w:p>
      <w:pPr>
        <w:spacing w:line="360" w:lineRule="auto"/>
        <w:ind w:firstLine="420" w:firstLineChars="200"/>
        <w:rPr>
          <w:rFonts w:ascii="宋体" w:hAnsi="宋体" w:cs="宋体"/>
          <w:szCs w:val="21"/>
        </w:rPr>
      </w:pPr>
      <w:r>
        <w:rPr>
          <w:rFonts w:hint="eastAsia" w:ascii="宋体" w:hAnsi="宋体" w:cs="宋体"/>
          <w:szCs w:val="21"/>
          <w:lang w:bidi="ar"/>
        </w:rPr>
        <w:t>合同执行过程中发生的任何争议，如双方不能通过友好协商解决，乙方和甲方同意向甲方所在地人民法院提起诉讼。</w:t>
      </w:r>
    </w:p>
    <w:p>
      <w:pPr>
        <w:pStyle w:val="3"/>
        <w:numPr>
          <w:ilvl w:val="0"/>
          <w:numId w:val="22"/>
        </w:numPr>
        <w:rPr>
          <w:rFonts w:ascii="宋体" w:hAnsi="宋体" w:cs="宋体"/>
        </w:rPr>
      </w:pPr>
      <w:r>
        <w:rPr>
          <w:rFonts w:hint="eastAsia" w:ascii="宋体" w:hAnsi="宋体" w:cs="宋体"/>
        </w:rPr>
        <w:t>不可抗力</w:t>
      </w:r>
    </w:p>
    <w:p>
      <w:pPr>
        <w:spacing w:line="360" w:lineRule="auto"/>
        <w:ind w:firstLine="420" w:firstLineChars="200"/>
        <w:rPr>
          <w:rFonts w:ascii="宋体" w:hAnsi="宋体" w:cs="宋体"/>
          <w:szCs w:val="21"/>
        </w:rPr>
      </w:pPr>
      <w:r>
        <w:rPr>
          <w:rFonts w:hint="eastAsia" w:ascii="宋体" w:hAnsi="宋体" w:cs="宋体"/>
          <w:szCs w:val="21"/>
          <w:lang w:bidi="ar"/>
        </w:rPr>
        <w:t>因不可抗力原因致合同不能按期履行的，应及时（72小时内）向对方通报以减轻可能给对方造成的损失，在取得有关机构的不可抗力证明或双方谅解确认后，允许延期履行或修订合同，并根据情况可部分或全部免于承担违约责任。</w:t>
      </w:r>
    </w:p>
    <w:p>
      <w:pPr>
        <w:pStyle w:val="3"/>
        <w:numPr>
          <w:ilvl w:val="0"/>
          <w:numId w:val="22"/>
        </w:numPr>
        <w:rPr>
          <w:rFonts w:ascii="宋体" w:hAnsi="宋体" w:cs="宋体"/>
        </w:rPr>
      </w:pPr>
      <w:r>
        <w:rPr>
          <w:rFonts w:hint="eastAsia" w:ascii="宋体" w:hAnsi="宋体" w:cs="宋体"/>
        </w:rPr>
        <w:t>税费</w:t>
      </w:r>
    </w:p>
    <w:p>
      <w:pPr>
        <w:spacing w:line="360" w:lineRule="auto"/>
        <w:ind w:firstLine="420" w:firstLineChars="200"/>
        <w:rPr>
          <w:rFonts w:ascii="宋体" w:hAnsi="宋体" w:cs="宋体"/>
          <w:szCs w:val="21"/>
        </w:rPr>
      </w:pPr>
      <w:r>
        <w:rPr>
          <w:rFonts w:hint="eastAsia" w:ascii="宋体" w:hAnsi="宋体" w:cs="宋体"/>
          <w:szCs w:val="21"/>
          <w:lang w:bidi="ar"/>
        </w:rPr>
        <w:t>在中国境内、外发生的与本合同执行有关的一切税费均由乙方负担</w:t>
      </w:r>
    </w:p>
    <w:p>
      <w:pPr>
        <w:pStyle w:val="3"/>
        <w:numPr>
          <w:ilvl w:val="0"/>
          <w:numId w:val="22"/>
        </w:numPr>
        <w:rPr>
          <w:rFonts w:ascii="宋体" w:hAnsi="宋体" w:cs="宋体"/>
        </w:rPr>
      </w:pPr>
      <w:r>
        <w:rPr>
          <w:rFonts w:hint="eastAsia" w:ascii="宋体" w:hAnsi="宋体" w:cs="宋体"/>
        </w:rPr>
        <w:t>其它</w:t>
      </w:r>
    </w:p>
    <w:p>
      <w:pPr>
        <w:tabs>
          <w:tab w:val="left" w:pos="567"/>
        </w:tabs>
        <w:snapToGrid w:val="0"/>
        <w:spacing w:line="360" w:lineRule="auto"/>
        <w:ind w:left="-420" w:leftChars="-200" w:firstLine="420" w:firstLineChars="200"/>
        <w:rPr>
          <w:rFonts w:ascii="宋体" w:hAnsi="宋体" w:cs="宋体"/>
          <w:szCs w:val="21"/>
        </w:rPr>
      </w:pPr>
      <w:r>
        <w:rPr>
          <w:rFonts w:hint="eastAsia" w:ascii="宋体" w:hAnsi="宋体" w:cs="宋体"/>
          <w:szCs w:val="21"/>
          <w:lang w:bidi="ar"/>
        </w:rPr>
        <w:t>（一）本合同所有附件、竞价文件、响应文件、成交通知书均为合同的有效组成部分，与本合同具有同等法律效力。</w:t>
      </w:r>
    </w:p>
    <w:p>
      <w:pPr>
        <w:tabs>
          <w:tab w:val="left" w:pos="567"/>
        </w:tabs>
        <w:snapToGrid w:val="0"/>
        <w:spacing w:line="360" w:lineRule="auto"/>
        <w:ind w:left="-420" w:leftChars="-200" w:firstLine="420" w:firstLineChars="200"/>
        <w:rPr>
          <w:rFonts w:ascii="宋体" w:hAnsi="宋体" w:cs="宋体"/>
          <w:szCs w:val="21"/>
        </w:rPr>
      </w:pPr>
      <w:r>
        <w:rPr>
          <w:rFonts w:hint="eastAsia" w:ascii="宋体" w:hAnsi="宋体" w:cs="宋体"/>
          <w:szCs w:val="21"/>
          <w:lang w:bidi="ar"/>
        </w:rPr>
        <w:t>（二）在执行本合同的过程中，所有经双方签署确认的文件（包括会议纪要、补充协议、往来信函）即成为本合同的有效组成部分。</w:t>
      </w:r>
    </w:p>
    <w:p>
      <w:pPr>
        <w:tabs>
          <w:tab w:val="left" w:pos="567"/>
        </w:tabs>
        <w:snapToGrid w:val="0"/>
        <w:spacing w:line="360" w:lineRule="auto"/>
        <w:ind w:left="-420" w:leftChars="-200" w:firstLine="420" w:firstLineChars="200"/>
        <w:rPr>
          <w:rFonts w:ascii="宋体" w:hAnsi="宋体" w:cs="宋体"/>
          <w:szCs w:val="21"/>
        </w:rPr>
      </w:pPr>
      <w:r>
        <w:rPr>
          <w:rFonts w:hint="eastAsia" w:ascii="宋体" w:hAnsi="宋体" w:cs="宋体"/>
          <w:szCs w:val="21"/>
          <w:lang w:bidi="ar"/>
        </w:rPr>
        <w:t xml:space="preserve">（三）如一方地址、电话、传真号码有变更，应在变更当日内书面通知对方，否则，应承担相应责任。 </w:t>
      </w:r>
    </w:p>
    <w:p>
      <w:pPr>
        <w:tabs>
          <w:tab w:val="left" w:pos="567"/>
        </w:tabs>
        <w:snapToGrid w:val="0"/>
        <w:spacing w:line="360" w:lineRule="auto"/>
        <w:ind w:left="-420" w:leftChars="-200" w:firstLine="420" w:firstLineChars="200"/>
        <w:rPr>
          <w:rFonts w:ascii="宋体" w:hAnsi="宋体" w:cs="宋体"/>
          <w:szCs w:val="21"/>
        </w:rPr>
      </w:pPr>
      <w:r>
        <w:rPr>
          <w:rFonts w:hint="eastAsia" w:ascii="宋体" w:hAnsi="宋体" w:cs="宋体"/>
          <w:szCs w:val="21"/>
          <w:lang w:bidi="ar"/>
        </w:rPr>
        <w:t>（四）除甲方事先书面同意外，乙方不得部分或全部转让其应履行的合同项下的义务。</w:t>
      </w:r>
    </w:p>
    <w:p>
      <w:pPr>
        <w:tabs>
          <w:tab w:val="left" w:pos="567"/>
        </w:tabs>
        <w:snapToGrid w:val="0"/>
        <w:spacing w:line="360" w:lineRule="auto"/>
        <w:ind w:left="-420" w:leftChars="-200" w:firstLine="420" w:firstLineChars="200"/>
        <w:rPr>
          <w:rFonts w:ascii="宋体" w:hAnsi="宋体" w:cs="宋体"/>
          <w:szCs w:val="21"/>
        </w:rPr>
      </w:pPr>
      <w:r>
        <w:rPr>
          <w:rFonts w:hint="eastAsia" w:ascii="宋体" w:hAnsi="宋体" w:cs="宋体"/>
          <w:szCs w:val="21"/>
          <w:lang w:bidi="ar"/>
        </w:rPr>
        <w:t>合同生效：</w:t>
      </w:r>
    </w:p>
    <w:p>
      <w:pPr>
        <w:tabs>
          <w:tab w:val="left" w:pos="567"/>
        </w:tabs>
        <w:snapToGrid w:val="0"/>
        <w:spacing w:line="360" w:lineRule="auto"/>
        <w:ind w:left="-420" w:leftChars="-200" w:firstLine="420" w:firstLineChars="200"/>
        <w:rPr>
          <w:rFonts w:ascii="宋体" w:hAnsi="宋体" w:cs="宋体"/>
          <w:szCs w:val="21"/>
        </w:rPr>
      </w:pPr>
      <w:r>
        <w:rPr>
          <w:rFonts w:hint="eastAsia" w:ascii="宋体" w:hAnsi="宋体" w:cs="宋体"/>
          <w:szCs w:val="21"/>
          <w:lang w:bidi="ar"/>
        </w:rPr>
        <w:t>（五）合同自甲乙双方法人代表或其授权代表签字盖章之日起生效。</w:t>
      </w:r>
    </w:p>
    <w:p>
      <w:pPr>
        <w:tabs>
          <w:tab w:val="left" w:pos="567"/>
        </w:tabs>
        <w:snapToGrid w:val="0"/>
        <w:spacing w:line="360" w:lineRule="auto"/>
        <w:ind w:left="-420" w:leftChars="-200" w:firstLine="420" w:firstLineChars="200"/>
        <w:rPr>
          <w:rFonts w:ascii="宋体" w:hAnsi="宋体" w:cs="宋体"/>
          <w:szCs w:val="21"/>
        </w:rPr>
      </w:pPr>
      <w:r>
        <w:rPr>
          <w:rFonts w:hint="eastAsia" w:ascii="宋体" w:hAnsi="宋体" w:cs="宋体"/>
          <w:szCs w:val="21"/>
          <w:lang w:bidi="ar"/>
        </w:rPr>
        <w:t>（六）合同壹式肆份，其中甲方执贰份，乙方执壹份，采购代理机构执壹份。</w:t>
      </w:r>
    </w:p>
    <w:p>
      <w:pPr>
        <w:tabs>
          <w:tab w:val="left" w:pos="567"/>
        </w:tabs>
        <w:snapToGrid w:val="0"/>
        <w:spacing w:line="360" w:lineRule="auto"/>
        <w:ind w:left="-420" w:leftChars="-200" w:firstLine="420" w:firstLineChars="200"/>
        <w:rPr>
          <w:rFonts w:ascii="宋体" w:hAnsi="宋体" w:cs="宋体"/>
          <w:szCs w:val="21"/>
        </w:rPr>
      </w:pPr>
      <w:r>
        <w:rPr>
          <w:rFonts w:hint="eastAsia" w:ascii="宋体" w:hAnsi="宋体" w:cs="宋体"/>
          <w:szCs w:val="21"/>
          <w:lang w:bidi="ar"/>
        </w:rPr>
        <w:t>（七）乙方必须给进出监管区送货人员购买人身意外保险，凡在运输、安装、生产期间发生一切人身意外情况与采购单位无关。</w:t>
      </w:r>
    </w:p>
    <w:p>
      <w:pPr>
        <w:spacing w:line="480" w:lineRule="auto"/>
        <w:rPr>
          <w:rFonts w:ascii="宋体" w:hAnsi="宋体" w:cs="宋体"/>
          <w:b/>
          <w:szCs w:val="21"/>
        </w:rPr>
      </w:pPr>
    </w:p>
    <w:p>
      <w:pPr>
        <w:spacing w:line="480" w:lineRule="auto"/>
        <w:rPr>
          <w:rFonts w:ascii="宋体" w:hAnsi="宋体" w:cs="宋体"/>
          <w:b/>
          <w:szCs w:val="21"/>
        </w:rPr>
      </w:pPr>
    </w:p>
    <w:p>
      <w:pPr>
        <w:spacing w:line="480" w:lineRule="auto"/>
        <w:rPr>
          <w:rFonts w:ascii="宋体" w:hAnsi="宋体" w:cs="宋体"/>
          <w:b/>
          <w:szCs w:val="21"/>
        </w:rPr>
      </w:pPr>
      <w:r>
        <w:rPr>
          <w:rFonts w:hint="eastAsia" w:ascii="宋体" w:hAnsi="宋体" w:cs="宋体"/>
          <w:b/>
          <w:szCs w:val="21"/>
          <w:lang w:bidi="ar"/>
        </w:rPr>
        <w:t>甲方（盖章）：</w:t>
      </w:r>
      <w:r>
        <w:rPr>
          <w:rFonts w:hint="eastAsia" w:ascii="宋体" w:hAnsi="宋体" w:cs="宋体"/>
          <w:bCs/>
          <w:szCs w:val="21"/>
          <w:lang w:bidi="ar"/>
        </w:rPr>
        <w:t>广东省广裕集团阳春实业有限公司</w:t>
      </w:r>
      <w:r>
        <w:rPr>
          <w:rFonts w:hint="eastAsia" w:ascii="宋体" w:hAnsi="宋体" w:cs="宋体"/>
          <w:b/>
          <w:szCs w:val="21"/>
          <w:lang w:bidi="ar"/>
        </w:rPr>
        <w:t xml:space="preserve">     乙方（盖章）：代表：                                     代表： </w:t>
      </w:r>
    </w:p>
    <w:p>
      <w:pPr>
        <w:spacing w:line="480" w:lineRule="auto"/>
        <w:ind w:left="3990" w:hanging="3990" w:hangingChars="1900"/>
        <w:rPr>
          <w:rFonts w:ascii="宋体" w:hAnsi="宋体" w:cs="宋体"/>
          <w:szCs w:val="21"/>
        </w:rPr>
      </w:pPr>
      <w:r>
        <w:rPr>
          <w:rFonts w:hint="eastAsia" w:ascii="宋体" w:hAnsi="宋体" w:cs="宋体"/>
          <w:szCs w:val="21"/>
          <w:lang w:bidi="ar"/>
        </w:rPr>
        <w:t>签定日期：     年   月  日          签定日期：    年    月    日    开户名称：</w:t>
      </w:r>
    </w:p>
    <w:p>
      <w:pPr>
        <w:spacing w:line="480" w:lineRule="auto"/>
        <w:ind w:firstLine="3990" w:firstLineChars="1900"/>
        <w:rPr>
          <w:rFonts w:ascii="宋体" w:hAnsi="宋体" w:cs="宋体"/>
          <w:szCs w:val="21"/>
        </w:rPr>
      </w:pPr>
      <w:r>
        <w:rPr>
          <w:rFonts w:hint="eastAsia" w:ascii="宋体" w:hAnsi="宋体" w:cs="宋体"/>
          <w:szCs w:val="21"/>
          <w:lang w:bidi="ar"/>
        </w:rPr>
        <w:t>银行账号：</w:t>
      </w:r>
    </w:p>
    <w:p>
      <w:pPr>
        <w:spacing w:line="480" w:lineRule="auto"/>
        <w:ind w:firstLine="4620" w:firstLineChars="2200"/>
        <w:rPr>
          <w:rFonts w:ascii="宋体" w:hAnsi="宋体" w:cs="宋体"/>
          <w:szCs w:val="21"/>
        </w:rPr>
      </w:pPr>
      <w:r>
        <w:rPr>
          <w:rFonts w:hint="eastAsia" w:ascii="宋体" w:hAnsi="宋体" w:cs="宋体"/>
          <w:szCs w:val="21"/>
          <w:lang w:bidi="ar"/>
        </w:rPr>
        <w:t xml:space="preserve">开户行： </w:t>
      </w:r>
    </w:p>
    <w:p>
      <w:pPr>
        <w:spacing w:line="360" w:lineRule="auto"/>
        <w:rPr>
          <w:rFonts w:ascii="宋体" w:hAnsi="宋体"/>
          <w:szCs w:val="21"/>
        </w:rPr>
      </w:pPr>
    </w:p>
    <w:p>
      <w:pPr>
        <w:spacing w:line="360" w:lineRule="auto"/>
        <w:rPr>
          <w:rFonts w:ascii="宋体" w:hAnsi="宋体"/>
          <w:color w:val="000000"/>
          <w:spacing w:val="4"/>
          <w:szCs w:val="21"/>
        </w:rPr>
      </w:pP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roid Sans Fallback">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D7188"/>
    <w:multiLevelType w:val="singleLevel"/>
    <w:tmpl w:val="94BD7188"/>
    <w:lvl w:ilvl="0" w:tentative="0">
      <w:start w:val="1"/>
      <w:numFmt w:val="chineseCounting"/>
      <w:suff w:val="nothing"/>
      <w:lvlText w:val="（%1）"/>
      <w:lvlJc w:val="left"/>
      <w:pPr>
        <w:ind w:left="0" w:firstLine="420"/>
      </w:pPr>
      <w:rPr>
        <w:rFonts w:hint="eastAsia"/>
      </w:rPr>
    </w:lvl>
  </w:abstractNum>
  <w:abstractNum w:abstractNumId="1">
    <w:nsid w:val="9C336B11"/>
    <w:multiLevelType w:val="singleLevel"/>
    <w:tmpl w:val="9C336B11"/>
    <w:lvl w:ilvl="0" w:tentative="0">
      <w:start w:val="1"/>
      <w:numFmt w:val="chineseCounting"/>
      <w:suff w:val="nothing"/>
      <w:lvlText w:val="（%1）"/>
      <w:lvlJc w:val="left"/>
      <w:pPr>
        <w:ind w:left="0" w:firstLine="420"/>
      </w:pPr>
      <w:rPr>
        <w:rFonts w:hint="eastAsia"/>
      </w:rPr>
    </w:lvl>
  </w:abstractNum>
  <w:abstractNum w:abstractNumId="2">
    <w:nsid w:val="9CCEBBB4"/>
    <w:multiLevelType w:val="singleLevel"/>
    <w:tmpl w:val="9CCEBBB4"/>
    <w:lvl w:ilvl="0" w:tentative="0">
      <w:start w:val="1"/>
      <w:numFmt w:val="chineseCounting"/>
      <w:suff w:val="nothing"/>
      <w:lvlText w:val="（%1）"/>
      <w:lvlJc w:val="left"/>
      <w:pPr>
        <w:ind w:left="0" w:firstLine="420"/>
      </w:pPr>
      <w:rPr>
        <w:rFonts w:hint="eastAsia"/>
      </w:rPr>
    </w:lvl>
  </w:abstractNum>
  <w:abstractNum w:abstractNumId="3">
    <w:nsid w:val="B077B4E6"/>
    <w:multiLevelType w:val="singleLevel"/>
    <w:tmpl w:val="B077B4E6"/>
    <w:lvl w:ilvl="0" w:tentative="0">
      <w:start w:val="1"/>
      <w:numFmt w:val="chineseCounting"/>
      <w:suff w:val="nothing"/>
      <w:lvlText w:val="（%1）"/>
      <w:lvlJc w:val="left"/>
      <w:pPr>
        <w:ind w:left="0" w:firstLine="420"/>
      </w:pPr>
      <w:rPr>
        <w:rFonts w:hint="eastAsia"/>
      </w:rPr>
    </w:lvl>
  </w:abstractNum>
  <w:abstractNum w:abstractNumId="4">
    <w:nsid w:val="C395950E"/>
    <w:multiLevelType w:val="singleLevel"/>
    <w:tmpl w:val="C395950E"/>
    <w:lvl w:ilvl="0" w:tentative="0">
      <w:start w:val="1"/>
      <w:numFmt w:val="chineseCounting"/>
      <w:suff w:val="nothing"/>
      <w:lvlText w:val="（%1）"/>
      <w:lvlJc w:val="left"/>
      <w:pPr>
        <w:ind w:left="0" w:firstLine="420"/>
      </w:pPr>
      <w:rPr>
        <w:rFonts w:hint="eastAsia"/>
      </w:rPr>
    </w:lvl>
  </w:abstractNum>
  <w:abstractNum w:abstractNumId="5">
    <w:nsid w:val="F0461A85"/>
    <w:multiLevelType w:val="singleLevel"/>
    <w:tmpl w:val="F0461A85"/>
    <w:lvl w:ilvl="0" w:tentative="0">
      <w:start w:val="1"/>
      <w:numFmt w:val="decimal"/>
      <w:suff w:val="nothing"/>
      <w:lvlText w:val="%1．"/>
      <w:lvlJc w:val="left"/>
      <w:pPr>
        <w:ind w:left="0" w:firstLine="400"/>
      </w:pPr>
      <w:rPr>
        <w:rFonts w:hint="default"/>
      </w:rPr>
    </w:lvl>
  </w:abstractNum>
  <w:abstractNum w:abstractNumId="6">
    <w:nsid w:val="F482D4F7"/>
    <w:multiLevelType w:val="singleLevel"/>
    <w:tmpl w:val="F482D4F7"/>
    <w:lvl w:ilvl="0" w:tentative="0">
      <w:start w:val="1"/>
      <w:numFmt w:val="chineseCounting"/>
      <w:suff w:val="nothing"/>
      <w:lvlText w:val="（%1）"/>
      <w:lvlJc w:val="left"/>
      <w:pPr>
        <w:ind w:left="0" w:firstLine="420"/>
      </w:pPr>
      <w:rPr>
        <w:rFonts w:hint="eastAsia"/>
      </w:rPr>
    </w:lvl>
  </w:abstractNum>
  <w:abstractNum w:abstractNumId="7">
    <w:nsid w:val="0A908206"/>
    <w:multiLevelType w:val="singleLevel"/>
    <w:tmpl w:val="0A908206"/>
    <w:lvl w:ilvl="0" w:tentative="0">
      <w:start w:val="1"/>
      <w:numFmt w:val="chineseCounting"/>
      <w:suff w:val="nothing"/>
      <w:lvlText w:val="（%1）"/>
      <w:lvlJc w:val="left"/>
      <w:pPr>
        <w:ind w:left="0" w:firstLine="420"/>
      </w:pPr>
      <w:rPr>
        <w:rFonts w:hint="eastAsia"/>
      </w:rPr>
    </w:lvl>
  </w:abstractNum>
  <w:abstractNum w:abstractNumId="8">
    <w:nsid w:val="125214F2"/>
    <w:multiLevelType w:val="multilevel"/>
    <w:tmpl w:val="125214F2"/>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9">
    <w:nsid w:val="140A6B21"/>
    <w:multiLevelType w:val="multilevel"/>
    <w:tmpl w:val="140A6B2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2A81B8CB"/>
    <w:multiLevelType w:val="singleLevel"/>
    <w:tmpl w:val="2A81B8CB"/>
    <w:lvl w:ilvl="0" w:tentative="0">
      <w:start w:val="1"/>
      <w:numFmt w:val="chineseCounting"/>
      <w:suff w:val="nothing"/>
      <w:lvlText w:val="（%1）"/>
      <w:lvlJc w:val="left"/>
      <w:pPr>
        <w:ind w:left="0" w:firstLine="420"/>
      </w:pPr>
      <w:rPr>
        <w:rFonts w:hint="eastAsia"/>
      </w:rPr>
    </w:lvl>
  </w:abstractNum>
  <w:abstractNum w:abstractNumId="13">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4">
    <w:nsid w:val="34433F59"/>
    <w:multiLevelType w:val="multilevel"/>
    <w:tmpl w:val="34433F59"/>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pStyle w:val="107"/>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4CE23F7C"/>
    <w:multiLevelType w:val="multilevel"/>
    <w:tmpl w:val="4CE23F7C"/>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4E86DB74"/>
    <w:multiLevelType w:val="singleLevel"/>
    <w:tmpl w:val="4E86DB74"/>
    <w:lvl w:ilvl="0" w:tentative="0">
      <w:start w:val="1"/>
      <w:numFmt w:val="decimal"/>
      <w:suff w:val="nothing"/>
      <w:lvlText w:val="%1．"/>
      <w:lvlJc w:val="left"/>
      <w:pPr>
        <w:ind w:left="0" w:firstLine="400"/>
      </w:pPr>
      <w:rPr>
        <w:rFonts w:hint="default"/>
      </w:rPr>
    </w:lvl>
  </w:abstractNum>
  <w:abstractNum w:abstractNumId="19">
    <w:nsid w:val="52C532B3"/>
    <w:multiLevelType w:val="singleLevel"/>
    <w:tmpl w:val="52C532B3"/>
    <w:lvl w:ilvl="0" w:tentative="0">
      <w:start w:val="1"/>
      <w:numFmt w:val="chineseCounting"/>
      <w:suff w:val="nothing"/>
      <w:lvlText w:val="（%1）"/>
      <w:lvlJc w:val="left"/>
      <w:pPr>
        <w:ind w:left="0" w:firstLine="420"/>
      </w:pPr>
      <w:rPr>
        <w:rFonts w:hint="eastAsia"/>
      </w:rPr>
    </w:lvl>
  </w:abstractNum>
  <w:abstractNum w:abstractNumId="20">
    <w:nsid w:val="59794862"/>
    <w:multiLevelType w:val="multilevel"/>
    <w:tmpl w:val="59794862"/>
    <w:lvl w:ilvl="0" w:tentative="0">
      <w:start w:val="1"/>
      <w:numFmt w:val="decimal"/>
      <w:suff w:val="nothing"/>
      <w:lvlText w:val="%1."/>
      <w:lvlJc w:val="left"/>
      <w:pPr>
        <w:ind w:left="704" w:hanging="420"/>
      </w:pPr>
      <w:rPr>
        <w:rFonts w:hint="eastAsia"/>
        <w:b w:val="0"/>
        <w:bCs w:val="0"/>
      </w:rPr>
    </w:lvl>
    <w:lvl w:ilvl="1" w:tentative="0">
      <w:start w:val="1"/>
      <w:numFmt w:val="lowerLetter"/>
      <w:lvlText w:val="%2)"/>
      <w:lvlJc w:val="left"/>
      <w:pPr>
        <w:ind w:left="1124" w:hanging="420"/>
      </w:pPr>
      <w:rPr>
        <w:rFonts w:hint="eastAsia"/>
      </w:rPr>
    </w:lvl>
    <w:lvl w:ilvl="2" w:tentative="0">
      <w:start w:val="1"/>
      <w:numFmt w:val="lowerRoman"/>
      <w:lvlText w:val="%3."/>
      <w:lvlJc w:val="right"/>
      <w:pPr>
        <w:ind w:left="1544" w:hanging="420"/>
      </w:pPr>
      <w:rPr>
        <w:rFonts w:hint="eastAsia"/>
      </w:rPr>
    </w:lvl>
    <w:lvl w:ilvl="3" w:tentative="0">
      <w:start w:val="1"/>
      <w:numFmt w:val="decimal"/>
      <w:lvlText w:val="%4."/>
      <w:lvlJc w:val="left"/>
      <w:pPr>
        <w:ind w:left="1964" w:hanging="420"/>
      </w:pPr>
      <w:rPr>
        <w:rFonts w:hint="eastAsia"/>
      </w:rPr>
    </w:lvl>
    <w:lvl w:ilvl="4" w:tentative="0">
      <w:start w:val="1"/>
      <w:numFmt w:val="lowerLetter"/>
      <w:lvlText w:val="%5)"/>
      <w:lvlJc w:val="left"/>
      <w:pPr>
        <w:ind w:left="2384" w:hanging="420"/>
      </w:pPr>
      <w:rPr>
        <w:rFonts w:hint="eastAsia"/>
      </w:rPr>
    </w:lvl>
    <w:lvl w:ilvl="5" w:tentative="0">
      <w:start w:val="1"/>
      <w:numFmt w:val="lowerRoman"/>
      <w:lvlText w:val="%6."/>
      <w:lvlJc w:val="right"/>
      <w:pPr>
        <w:ind w:left="2804" w:hanging="420"/>
      </w:pPr>
      <w:rPr>
        <w:rFonts w:hint="eastAsia"/>
      </w:rPr>
    </w:lvl>
    <w:lvl w:ilvl="6" w:tentative="0">
      <w:start w:val="1"/>
      <w:numFmt w:val="decimal"/>
      <w:lvlText w:val="%7."/>
      <w:lvlJc w:val="left"/>
      <w:pPr>
        <w:ind w:left="3224" w:hanging="420"/>
      </w:pPr>
      <w:rPr>
        <w:rFonts w:hint="eastAsia"/>
      </w:rPr>
    </w:lvl>
    <w:lvl w:ilvl="7" w:tentative="0">
      <w:start w:val="1"/>
      <w:numFmt w:val="lowerLetter"/>
      <w:lvlText w:val="%8)"/>
      <w:lvlJc w:val="left"/>
      <w:pPr>
        <w:ind w:left="3644" w:hanging="420"/>
      </w:pPr>
      <w:rPr>
        <w:rFonts w:hint="eastAsia"/>
      </w:rPr>
    </w:lvl>
    <w:lvl w:ilvl="8" w:tentative="0">
      <w:start w:val="1"/>
      <w:numFmt w:val="lowerRoman"/>
      <w:lvlText w:val="%9."/>
      <w:lvlJc w:val="right"/>
      <w:pPr>
        <w:ind w:left="4064" w:hanging="420"/>
      </w:pPr>
      <w:rPr>
        <w:rFonts w:hint="eastAsia"/>
      </w:rPr>
    </w:lvl>
  </w:abstractNum>
  <w:abstractNum w:abstractNumId="21">
    <w:nsid w:val="5F0D4DC7"/>
    <w:multiLevelType w:val="multilevel"/>
    <w:tmpl w:val="5F0D4DC7"/>
    <w:lvl w:ilvl="0" w:tentative="0">
      <w:start w:val="1"/>
      <w:numFmt w:val="decimal"/>
      <w:suff w:val="nothing"/>
      <w:lvlText w:val="%1."/>
      <w:lvlJc w:val="left"/>
      <w:pPr>
        <w:ind w:left="846" w:hanging="420"/>
      </w:pPr>
      <w:rPr>
        <w:rFonts w:hint="eastAsia"/>
      </w:rPr>
    </w:lvl>
    <w:lvl w:ilvl="1" w:tentative="0">
      <w:start w:val="1"/>
      <w:numFmt w:val="lowerLetter"/>
      <w:lvlText w:val="%2)"/>
      <w:lvlJc w:val="left"/>
      <w:pPr>
        <w:ind w:left="1266" w:hanging="420"/>
      </w:pPr>
      <w:rPr>
        <w:rFonts w:hint="eastAsia"/>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22">
    <w:nsid w:val="622C0ABC"/>
    <w:multiLevelType w:val="multilevel"/>
    <w:tmpl w:val="622C0ABC"/>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3784A10"/>
    <w:multiLevelType w:val="multilevel"/>
    <w:tmpl w:val="63784A10"/>
    <w:lvl w:ilvl="0" w:tentative="0">
      <w:start w:val="1"/>
      <w:numFmt w:val="chineseCountingThousand"/>
      <w:suff w:val="nothing"/>
      <w:lvlText w:val="%1、"/>
      <w:lvlJc w:val="left"/>
      <w:pPr>
        <w:ind w:left="562"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4">
    <w:nsid w:val="7323D85E"/>
    <w:multiLevelType w:val="singleLevel"/>
    <w:tmpl w:val="7323D85E"/>
    <w:lvl w:ilvl="0" w:tentative="0">
      <w:start w:val="1"/>
      <w:numFmt w:val="chineseCounting"/>
      <w:suff w:val="nothing"/>
      <w:lvlText w:val="（%1）"/>
      <w:lvlJc w:val="left"/>
      <w:pPr>
        <w:ind w:left="0" w:firstLine="420"/>
      </w:pPr>
      <w:rPr>
        <w:rFonts w:hint="eastAsia"/>
      </w:rPr>
    </w:lvl>
  </w:abstractNum>
  <w:abstractNum w:abstractNumId="25">
    <w:nsid w:val="759C95A8"/>
    <w:multiLevelType w:val="multilevel"/>
    <w:tmpl w:val="759C95A8"/>
    <w:lvl w:ilvl="0" w:tentative="0">
      <w:start w:val="1"/>
      <w:numFmt w:val="chineseCountingThousand"/>
      <w:pStyle w:val="3"/>
      <w:suff w:val="nothing"/>
      <w:lvlText w:val="%1、"/>
      <w:lvlJc w:val="left"/>
      <w:pPr>
        <w:ind w:left="420" w:hanging="420"/>
      </w:pPr>
      <w:rPr>
        <w:rFonts w:hint="eastAsia" w:ascii="宋体" w:hAnsi="宋体" w:eastAsia="宋体" w:cs="宋体"/>
        <w:b/>
        <w:color w:val="auto"/>
        <w:sz w:val="21"/>
        <w:szCs w:val="21"/>
      </w:rPr>
    </w:lvl>
    <w:lvl w:ilvl="1" w:tentative="0">
      <w:start w:val="1"/>
      <w:numFmt w:val="decimal"/>
      <w:pStyle w:val="4"/>
      <w:isLgl/>
      <w:lvlText w:val="%1.%2"/>
      <w:lvlJc w:val="left"/>
      <w:pPr>
        <w:tabs>
          <w:tab w:val="left" w:pos="210"/>
        </w:tabs>
        <w:ind w:left="420" w:firstLine="0"/>
      </w:pPr>
      <w:rPr>
        <w:rFonts w:hint="eastAsia" w:ascii="宋体" w:hAnsi="宋体" w:eastAsia="宋体" w:cs="宋体"/>
        <w:sz w:val="21"/>
        <w:szCs w:val="21"/>
      </w:rPr>
    </w:lvl>
    <w:lvl w:ilvl="2" w:tentative="0">
      <w:start w:val="1"/>
      <w:numFmt w:val="decimal"/>
      <w:pStyle w:val="5"/>
      <w:isLgl/>
      <w:lvlText w:val="%1.%2.%3"/>
      <w:lvlJc w:val="right"/>
      <w:pPr>
        <w:tabs>
          <w:tab w:val="left" w:pos="1260"/>
        </w:tabs>
        <w:ind w:left="1260" w:hanging="420"/>
      </w:pPr>
      <w:rPr>
        <w:rFonts w:hint="eastAsia" w:ascii="宋体" w:hAnsi="宋体" w:eastAsia="宋体"/>
        <w:sz w:val="21"/>
        <w:szCs w:val="21"/>
      </w:rPr>
    </w:lvl>
    <w:lvl w:ilvl="3" w:tentative="0">
      <w:start w:val="1"/>
      <w:numFmt w:val="decimal"/>
      <w:suff w:val="nothing"/>
      <w:lvlText w:val="%4."/>
      <w:lvlJc w:val="left"/>
      <w:pPr>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6">
    <w:nsid w:val="76E92880"/>
    <w:multiLevelType w:val="multilevel"/>
    <w:tmpl w:val="76E92880"/>
    <w:lvl w:ilvl="0" w:tentative="0">
      <w:start w:val="1"/>
      <w:numFmt w:val="decimal"/>
      <w:suff w:val="nothing"/>
      <w:lvlText w:val="%1."/>
      <w:lvlJc w:val="left"/>
      <w:pPr>
        <w:ind w:left="704" w:hanging="420"/>
      </w:pPr>
      <w:rPr>
        <w:rFonts w:hint="eastAsia"/>
        <w:b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25"/>
  </w:num>
  <w:num w:numId="2">
    <w:abstractNumId w:val="14"/>
  </w:num>
  <w:num w:numId="3">
    <w:abstractNumId w:val="23"/>
  </w:num>
  <w:num w:numId="4">
    <w:abstractNumId w:val="15"/>
  </w:num>
  <w:num w:numId="5">
    <w:abstractNumId w:val="10"/>
  </w:num>
  <w:num w:numId="6">
    <w:abstractNumId w:val="26"/>
  </w:num>
  <w:num w:numId="7">
    <w:abstractNumId w:val="20"/>
  </w:num>
  <w:num w:numId="8">
    <w:abstractNumId w:val="8"/>
  </w:num>
  <w:num w:numId="9">
    <w:abstractNumId w:val="21"/>
  </w:num>
  <w:num w:numId="10">
    <w:abstractNumId w:val="16"/>
  </w:num>
  <w:num w:numId="11">
    <w:abstractNumId w:val="9"/>
  </w:num>
  <w:num w:numId="12">
    <w:abstractNumId w:val="11"/>
  </w:num>
  <w:num w:numId="13">
    <w:abstractNumId w:val="1"/>
  </w:num>
  <w:num w:numId="14">
    <w:abstractNumId w:val="19"/>
  </w:num>
  <w:num w:numId="15">
    <w:abstractNumId w:val="4"/>
  </w:num>
  <w:num w:numId="16">
    <w:abstractNumId w:val="3"/>
  </w:num>
  <w:num w:numId="17">
    <w:abstractNumId w:val="0"/>
  </w:num>
  <w:num w:numId="18">
    <w:abstractNumId w:val="5"/>
  </w:num>
  <w:num w:numId="19">
    <w:abstractNumId w:val="22"/>
  </w:num>
  <w:num w:numId="20">
    <w:abstractNumId w:val="17"/>
  </w:num>
  <w:num w:numId="21">
    <w:abstractNumId w:val="13"/>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7"/>
  </w:num>
  <w:num w:numId="25">
    <w:abstractNumId w:val="6"/>
  </w:num>
  <w:num w:numId="26">
    <w:abstractNumId w:val="12"/>
  </w:num>
  <w:num w:numId="27">
    <w:abstractNumId w:val="2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2NlNjQ0YjdiNTg4ZDkzYmRkZDQ2MmIzZmE5ZjkifQ=="/>
  </w:docVars>
  <w:rsids>
    <w:rsidRoot w:val="00516F10"/>
    <w:rsid w:val="0001187D"/>
    <w:rsid w:val="00025830"/>
    <w:rsid w:val="00026170"/>
    <w:rsid w:val="000268B1"/>
    <w:rsid w:val="00026B01"/>
    <w:rsid w:val="000326CD"/>
    <w:rsid w:val="00033234"/>
    <w:rsid w:val="00034791"/>
    <w:rsid w:val="00035F07"/>
    <w:rsid w:val="00042D00"/>
    <w:rsid w:val="00045F70"/>
    <w:rsid w:val="00045FBB"/>
    <w:rsid w:val="00051B0F"/>
    <w:rsid w:val="00065916"/>
    <w:rsid w:val="000704AA"/>
    <w:rsid w:val="00095495"/>
    <w:rsid w:val="000A7BA1"/>
    <w:rsid w:val="000B15DB"/>
    <w:rsid w:val="000B3267"/>
    <w:rsid w:val="000C1C72"/>
    <w:rsid w:val="000C55B1"/>
    <w:rsid w:val="000D0CF6"/>
    <w:rsid w:val="000D1D31"/>
    <w:rsid w:val="000D21F8"/>
    <w:rsid w:val="000F5AD9"/>
    <w:rsid w:val="00103697"/>
    <w:rsid w:val="00113ED4"/>
    <w:rsid w:val="0012247C"/>
    <w:rsid w:val="00123FBD"/>
    <w:rsid w:val="00132CD9"/>
    <w:rsid w:val="00137DA3"/>
    <w:rsid w:val="00141634"/>
    <w:rsid w:val="00141F34"/>
    <w:rsid w:val="00152737"/>
    <w:rsid w:val="001566BD"/>
    <w:rsid w:val="00157FC8"/>
    <w:rsid w:val="00172A99"/>
    <w:rsid w:val="00173EC0"/>
    <w:rsid w:val="00174077"/>
    <w:rsid w:val="001764FD"/>
    <w:rsid w:val="00195904"/>
    <w:rsid w:val="001968F3"/>
    <w:rsid w:val="001978CA"/>
    <w:rsid w:val="001A098F"/>
    <w:rsid w:val="001A120E"/>
    <w:rsid w:val="001A4083"/>
    <w:rsid w:val="001A45B7"/>
    <w:rsid w:val="001B56FF"/>
    <w:rsid w:val="001C1658"/>
    <w:rsid w:val="001C502C"/>
    <w:rsid w:val="001D478E"/>
    <w:rsid w:val="001E63E3"/>
    <w:rsid w:val="001F33BA"/>
    <w:rsid w:val="0020086C"/>
    <w:rsid w:val="00205973"/>
    <w:rsid w:val="00206175"/>
    <w:rsid w:val="00206B76"/>
    <w:rsid w:val="00223607"/>
    <w:rsid w:val="00233B39"/>
    <w:rsid w:val="002364D1"/>
    <w:rsid w:val="00246F00"/>
    <w:rsid w:val="00255007"/>
    <w:rsid w:val="002570E6"/>
    <w:rsid w:val="00270B76"/>
    <w:rsid w:val="002807E6"/>
    <w:rsid w:val="00286DAD"/>
    <w:rsid w:val="0028737F"/>
    <w:rsid w:val="00291AED"/>
    <w:rsid w:val="00291CBF"/>
    <w:rsid w:val="002A56F1"/>
    <w:rsid w:val="002B3278"/>
    <w:rsid w:val="002B5407"/>
    <w:rsid w:val="002C25D3"/>
    <w:rsid w:val="002C61C1"/>
    <w:rsid w:val="002C766B"/>
    <w:rsid w:val="002D75B5"/>
    <w:rsid w:val="002E0273"/>
    <w:rsid w:val="002E7E23"/>
    <w:rsid w:val="002F52E0"/>
    <w:rsid w:val="002F6100"/>
    <w:rsid w:val="00302919"/>
    <w:rsid w:val="00305F48"/>
    <w:rsid w:val="0032451E"/>
    <w:rsid w:val="003331C2"/>
    <w:rsid w:val="00333B7E"/>
    <w:rsid w:val="00341583"/>
    <w:rsid w:val="00342BBF"/>
    <w:rsid w:val="00360101"/>
    <w:rsid w:val="003714B5"/>
    <w:rsid w:val="003757EE"/>
    <w:rsid w:val="00376055"/>
    <w:rsid w:val="00392078"/>
    <w:rsid w:val="003B1E0E"/>
    <w:rsid w:val="003B2E4C"/>
    <w:rsid w:val="003B350C"/>
    <w:rsid w:val="003B7C53"/>
    <w:rsid w:val="003C0205"/>
    <w:rsid w:val="003C13F3"/>
    <w:rsid w:val="003C1771"/>
    <w:rsid w:val="003D0B92"/>
    <w:rsid w:val="003D1614"/>
    <w:rsid w:val="003E1A2F"/>
    <w:rsid w:val="003F1ABB"/>
    <w:rsid w:val="003F7D07"/>
    <w:rsid w:val="00401632"/>
    <w:rsid w:val="00403149"/>
    <w:rsid w:val="00411CE2"/>
    <w:rsid w:val="00417AD6"/>
    <w:rsid w:val="00422C1D"/>
    <w:rsid w:val="0042615B"/>
    <w:rsid w:val="00436A98"/>
    <w:rsid w:val="00442FE9"/>
    <w:rsid w:val="00443A4F"/>
    <w:rsid w:val="00445982"/>
    <w:rsid w:val="004501FA"/>
    <w:rsid w:val="00453C10"/>
    <w:rsid w:val="00456E9E"/>
    <w:rsid w:val="00473453"/>
    <w:rsid w:val="00473B52"/>
    <w:rsid w:val="00474AA5"/>
    <w:rsid w:val="004754C5"/>
    <w:rsid w:val="00476C79"/>
    <w:rsid w:val="00480A35"/>
    <w:rsid w:val="00482E77"/>
    <w:rsid w:val="00485366"/>
    <w:rsid w:val="0049638D"/>
    <w:rsid w:val="004B1BEB"/>
    <w:rsid w:val="004B4DBA"/>
    <w:rsid w:val="004C1524"/>
    <w:rsid w:val="004C15A2"/>
    <w:rsid w:val="004E3ED7"/>
    <w:rsid w:val="004E7F78"/>
    <w:rsid w:val="004F27A7"/>
    <w:rsid w:val="004F65D2"/>
    <w:rsid w:val="0050102A"/>
    <w:rsid w:val="00501ACC"/>
    <w:rsid w:val="00503BED"/>
    <w:rsid w:val="00507CC5"/>
    <w:rsid w:val="00512CC7"/>
    <w:rsid w:val="00516F10"/>
    <w:rsid w:val="00520F24"/>
    <w:rsid w:val="00521B84"/>
    <w:rsid w:val="0052637F"/>
    <w:rsid w:val="00532910"/>
    <w:rsid w:val="00560BAE"/>
    <w:rsid w:val="005775B0"/>
    <w:rsid w:val="00595F8F"/>
    <w:rsid w:val="00597970"/>
    <w:rsid w:val="005A50C9"/>
    <w:rsid w:val="005B1149"/>
    <w:rsid w:val="005D4244"/>
    <w:rsid w:val="005E14B6"/>
    <w:rsid w:val="005F774A"/>
    <w:rsid w:val="00606B69"/>
    <w:rsid w:val="00610131"/>
    <w:rsid w:val="006116CC"/>
    <w:rsid w:val="0061241E"/>
    <w:rsid w:val="006149D9"/>
    <w:rsid w:val="006170BC"/>
    <w:rsid w:val="0062616E"/>
    <w:rsid w:val="00630CD9"/>
    <w:rsid w:val="0063632F"/>
    <w:rsid w:val="00661678"/>
    <w:rsid w:val="006628BF"/>
    <w:rsid w:val="006635B0"/>
    <w:rsid w:val="0066505B"/>
    <w:rsid w:val="0066655C"/>
    <w:rsid w:val="00666EF6"/>
    <w:rsid w:val="00670B17"/>
    <w:rsid w:val="00674555"/>
    <w:rsid w:val="00677338"/>
    <w:rsid w:val="00680BDD"/>
    <w:rsid w:val="00687D8F"/>
    <w:rsid w:val="0069549C"/>
    <w:rsid w:val="006C3A9E"/>
    <w:rsid w:val="006D015B"/>
    <w:rsid w:val="006D4452"/>
    <w:rsid w:val="006D50B4"/>
    <w:rsid w:val="006D5E9E"/>
    <w:rsid w:val="006F001E"/>
    <w:rsid w:val="006F0237"/>
    <w:rsid w:val="006F28D9"/>
    <w:rsid w:val="006F620D"/>
    <w:rsid w:val="006F66F5"/>
    <w:rsid w:val="00714A36"/>
    <w:rsid w:val="0072778B"/>
    <w:rsid w:val="007375EA"/>
    <w:rsid w:val="0076276A"/>
    <w:rsid w:val="00762AAB"/>
    <w:rsid w:val="00763D25"/>
    <w:rsid w:val="0076402A"/>
    <w:rsid w:val="00774A88"/>
    <w:rsid w:val="00777667"/>
    <w:rsid w:val="00780403"/>
    <w:rsid w:val="007A5C69"/>
    <w:rsid w:val="007B18CE"/>
    <w:rsid w:val="007E1E37"/>
    <w:rsid w:val="007E58B6"/>
    <w:rsid w:val="007E5BDE"/>
    <w:rsid w:val="007F6C80"/>
    <w:rsid w:val="0080159E"/>
    <w:rsid w:val="008049FD"/>
    <w:rsid w:val="00805888"/>
    <w:rsid w:val="00806D25"/>
    <w:rsid w:val="00807C57"/>
    <w:rsid w:val="008131DF"/>
    <w:rsid w:val="00816CAE"/>
    <w:rsid w:val="008205B8"/>
    <w:rsid w:val="00823A7D"/>
    <w:rsid w:val="00847170"/>
    <w:rsid w:val="008604E5"/>
    <w:rsid w:val="0086184D"/>
    <w:rsid w:val="00861E08"/>
    <w:rsid w:val="00877D89"/>
    <w:rsid w:val="008A25EE"/>
    <w:rsid w:val="008A4F69"/>
    <w:rsid w:val="008B3DC2"/>
    <w:rsid w:val="008C2E3F"/>
    <w:rsid w:val="008C705F"/>
    <w:rsid w:val="008E40FC"/>
    <w:rsid w:val="008F0B1E"/>
    <w:rsid w:val="008F0D95"/>
    <w:rsid w:val="008F2C1E"/>
    <w:rsid w:val="008F7620"/>
    <w:rsid w:val="008F7982"/>
    <w:rsid w:val="00906293"/>
    <w:rsid w:val="00925A07"/>
    <w:rsid w:val="00941EA1"/>
    <w:rsid w:val="00944F59"/>
    <w:rsid w:val="00947ADE"/>
    <w:rsid w:val="00953039"/>
    <w:rsid w:val="00965019"/>
    <w:rsid w:val="00967423"/>
    <w:rsid w:val="00967EC7"/>
    <w:rsid w:val="00982612"/>
    <w:rsid w:val="00984634"/>
    <w:rsid w:val="00984F2E"/>
    <w:rsid w:val="00997284"/>
    <w:rsid w:val="009A4346"/>
    <w:rsid w:val="009A43C4"/>
    <w:rsid w:val="009A4AA1"/>
    <w:rsid w:val="009A5834"/>
    <w:rsid w:val="009A6E1F"/>
    <w:rsid w:val="009B39BE"/>
    <w:rsid w:val="009B5E70"/>
    <w:rsid w:val="009C1D99"/>
    <w:rsid w:val="009C2480"/>
    <w:rsid w:val="009C5999"/>
    <w:rsid w:val="009C6942"/>
    <w:rsid w:val="009D5E0C"/>
    <w:rsid w:val="009E3BAD"/>
    <w:rsid w:val="009E6086"/>
    <w:rsid w:val="00A01D93"/>
    <w:rsid w:val="00A0464E"/>
    <w:rsid w:val="00A12D55"/>
    <w:rsid w:val="00A1454B"/>
    <w:rsid w:val="00A16D82"/>
    <w:rsid w:val="00A17B99"/>
    <w:rsid w:val="00A23654"/>
    <w:rsid w:val="00A23990"/>
    <w:rsid w:val="00A26653"/>
    <w:rsid w:val="00A27B67"/>
    <w:rsid w:val="00A3213A"/>
    <w:rsid w:val="00A509CB"/>
    <w:rsid w:val="00A5328B"/>
    <w:rsid w:val="00A64254"/>
    <w:rsid w:val="00A71689"/>
    <w:rsid w:val="00A73A78"/>
    <w:rsid w:val="00A839B8"/>
    <w:rsid w:val="00A929F2"/>
    <w:rsid w:val="00AA1D00"/>
    <w:rsid w:val="00AA34C4"/>
    <w:rsid w:val="00AA3740"/>
    <w:rsid w:val="00AA4ECD"/>
    <w:rsid w:val="00AB1288"/>
    <w:rsid w:val="00AD3C15"/>
    <w:rsid w:val="00AD70A4"/>
    <w:rsid w:val="00AE25FD"/>
    <w:rsid w:val="00AE293E"/>
    <w:rsid w:val="00B00336"/>
    <w:rsid w:val="00B011BC"/>
    <w:rsid w:val="00B17BC3"/>
    <w:rsid w:val="00B20247"/>
    <w:rsid w:val="00B463BB"/>
    <w:rsid w:val="00B5102B"/>
    <w:rsid w:val="00B60CD4"/>
    <w:rsid w:val="00B6553A"/>
    <w:rsid w:val="00B700EF"/>
    <w:rsid w:val="00B81EE3"/>
    <w:rsid w:val="00B87081"/>
    <w:rsid w:val="00B906F4"/>
    <w:rsid w:val="00B928B1"/>
    <w:rsid w:val="00B959C1"/>
    <w:rsid w:val="00B966BA"/>
    <w:rsid w:val="00BA3E67"/>
    <w:rsid w:val="00BA6D96"/>
    <w:rsid w:val="00BB1DAC"/>
    <w:rsid w:val="00BB1FFC"/>
    <w:rsid w:val="00BB678A"/>
    <w:rsid w:val="00BC0E85"/>
    <w:rsid w:val="00BC0F33"/>
    <w:rsid w:val="00BC3CE1"/>
    <w:rsid w:val="00BC5AF8"/>
    <w:rsid w:val="00BC69C0"/>
    <w:rsid w:val="00BD0BF0"/>
    <w:rsid w:val="00C11F00"/>
    <w:rsid w:val="00C121F4"/>
    <w:rsid w:val="00C1511B"/>
    <w:rsid w:val="00C203F9"/>
    <w:rsid w:val="00C22423"/>
    <w:rsid w:val="00C44787"/>
    <w:rsid w:val="00C6159E"/>
    <w:rsid w:val="00C70F33"/>
    <w:rsid w:val="00C74E4E"/>
    <w:rsid w:val="00C81944"/>
    <w:rsid w:val="00C85C45"/>
    <w:rsid w:val="00C95D8B"/>
    <w:rsid w:val="00CA7A8E"/>
    <w:rsid w:val="00CB21C8"/>
    <w:rsid w:val="00CB5B2E"/>
    <w:rsid w:val="00CB6A53"/>
    <w:rsid w:val="00CC31F6"/>
    <w:rsid w:val="00CD3C99"/>
    <w:rsid w:val="00CD3D6A"/>
    <w:rsid w:val="00CD4582"/>
    <w:rsid w:val="00CD5D53"/>
    <w:rsid w:val="00CE1A74"/>
    <w:rsid w:val="00CF12FF"/>
    <w:rsid w:val="00CF58EB"/>
    <w:rsid w:val="00CF69B2"/>
    <w:rsid w:val="00CF7C56"/>
    <w:rsid w:val="00D058AE"/>
    <w:rsid w:val="00D0680E"/>
    <w:rsid w:val="00D14CC2"/>
    <w:rsid w:val="00D17425"/>
    <w:rsid w:val="00D21022"/>
    <w:rsid w:val="00D4610D"/>
    <w:rsid w:val="00D5022E"/>
    <w:rsid w:val="00D540CC"/>
    <w:rsid w:val="00D60017"/>
    <w:rsid w:val="00D63B27"/>
    <w:rsid w:val="00D64B8A"/>
    <w:rsid w:val="00D841DD"/>
    <w:rsid w:val="00D844AB"/>
    <w:rsid w:val="00D917E7"/>
    <w:rsid w:val="00D97E96"/>
    <w:rsid w:val="00DA3E4A"/>
    <w:rsid w:val="00DA4040"/>
    <w:rsid w:val="00DA6860"/>
    <w:rsid w:val="00DB6B7F"/>
    <w:rsid w:val="00DC0DBD"/>
    <w:rsid w:val="00DC1BC1"/>
    <w:rsid w:val="00DC21E6"/>
    <w:rsid w:val="00DC2C07"/>
    <w:rsid w:val="00DC45F6"/>
    <w:rsid w:val="00DD45ED"/>
    <w:rsid w:val="00DE1AAF"/>
    <w:rsid w:val="00DE4156"/>
    <w:rsid w:val="00DE4B49"/>
    <w:rsid w:val="00DE4C5F"/>
    <w:rsid w:val="00DE5C00"/>
    <w:rsid w:val="00DF16F7"/>
    <w:rsid w:val="00E05A5E"/>
    <w:rsid w:val="00E06BB4"/>
    <w:rsid w:val="00E1068B"/>
    <w:rsid w:val="00E113BC"/>
    <w:rsid w:val="00E1167F"/>
    <w:rsid w:val="00E14C8C"/>
    <w:rsid w:val="00E16033"/>
    <w:rsid w:val="00E333C4"/>
    <w:rsid w:val="00E36E12"/>
    <w:rsid w:val="00E37953"/>
    <w:rsid w:val="00E40338"/>
    <w:rsid w:val="00E44649"/>
    <w:rsid w:val="00E550A5"/>
    <w:rsid w:val="00E56DB8"/>
    <w:rsid w:val="00E5733A"/>
    <w:rsid w:val="00E574D2"/>
    <w:rsid w:val="00E63A68"/>
    <w:rsid w:val="00E71E50"/>
    <w:rsid w:val="00E82508"/>
    <w:rsid w:val="00E85BD8"/>
    <w:rsid w:val="00E862CC"/>
    <w:rsid w:val="00E92642"/>
    <w:rsid w:val="00E945CA"/>
    <w:rsid w:val="00E97395"/>
    <w:rsid w:val="00EA1D3A"/>
    <w:rsid w:val="00EA6518"/>
    <w:rsid w:val="00EB475A"/>
    <w:rsid w:val="00EB5616"/>
    <w:rsid w:val="00EC56B3"/>
    <w:rsid w:val="00EC5B5C"/>
    <w:rsid w:val="00EC651C"/>
    <w:rsid w:val="00ED4B9E"/>
    <w:rsid w:val="00ED5CD4"/>
    <w:rsid w:val="00EE5358"/>
    <w:rsid w:val="00EE75F3"/>
    <w:rsid w:val="00EF0FFF"/>
    <w:rsid w:val="00EF5DEB"/>
    <w:rsid w:val="00EF5FEA"/>
    <w:rsid w:val="00EF6234"/>
    <w:rsid w:val="00F07081"/>
    <w:rsid w:val="00F16EDD"/>
    <w:rsid w:val="00F2449B"/>
    <w:rsid w:val="00F31392"/>
    <w:rsid w:val="00F31DB9"/>
    <w:rsid w:val="00F34AA0"/>
    <w:rsid w:val="00F376F4"/>
    <w:rsid w:val="00F42D73"/>
    <w:rsid w:val="00FA2F0C"/>
    <w:rsid w:val="00FA4D0C"/>
    <w:rsid w:val="00FA62BF"/>
    <w:rsid w:val="00FB18C7"/>
    <w:rsid w:val="00FC38DB"/>
    <w:rsid w:val="00FC3DB6"/>
    <w:rsid w:val="00FD159C"/>
    <w:rsid w:val="00FD6F0A"/>
    <w:rsid w:val="00FE07A1"/>
    <w:rsid w:val="00FE4E6E"/>
    <w:rsid w:val="00FE5504"/>
    <w:rsid w:val="02575EC2"/>
    <w:rsid w:val="044E07B5"/>
    <w:rsid w:val="04A26EAA"/>
    <w:rsid w:val="04BD1AC5"/>
    <w:rsid w:val="08EE45EE"/>
    <w:rsid w:val="099B3713"/>
    <w:rsid w:val="1011409C"/>
    <w:rsid w:val="118C46DA"/>
    <w:rsid w:val="135A67DD"/>
    <w:rsid w:val="146E281E"/>
    <w:rsid w:val="151532AB"/>
    <w:rsid w:val="180D1C47"/>
    <w:rsid w:val="1BB14095"/>
    <w:rsid w:val="1D6D0F20"/>
    <w:rsid w:val="1DD56838"/>
    <w:rsid w:val="1F430030"/>
    <w:rsid w:val="23890100"/>
    <w:rsid w:val="238B622E"/>
    <w:rsid w:val="24EC4627"/>
    <w:rsid w:val="27771025"/>
    <w:rsid w:val="279453E7"/>
    <w:rsid w:val="28FD2463"/>
    <w:rsid w:val="2B2A1FF1"/>
    <w:rsid w:val="2BB07818"/>
    <w:rsid w:val="2EB0220B"/>
    <w:rsid w:val="31822830"/>
    <w:rsid w:val="325F2922"/>
    <w:rsid w:val="3283369C"/>
    <w:rsid w:val="339C675E"/>
    <w:rsid w:val="340C1869"/>
    <w:rsid w:val="34A1292A"/>
    <w:rsid w:val="35535222"/>
    <w:rsid w:val="355C0039"/>
    <w:rsid w:val="364B7D23"/>
    <w:rsid w:val="38872A39"/>
    <w:rsid w:val="3A896E69"/>
    <w:rsid w:val="3BEB32DE"/>
    <w:rsid w:val="3D9077FD"/>
    <w:rsid w:val="3DA76603"/>
    <w:rsid w:val="3DB668E5"/>
    <w:rsid w:val="3EEE104B"/>
    <w:rsid w:val="405B37C8"/>
    <w:rsid w:val="45F522CA"/>
    <w:rsid w:val="4646404A"/>
    <w:rsid w:val="4B575A5A"/>
    <w:rsid w:val="4C3607C0"/>
    <w:rsid w:val="4CF213BF"/>
    <w:rsid w:val="522247C0"/>
    <w:rsid w:val="52386F7A"/>
    <w:rsid w:val="52B21805"/>
    <w:rsid w:val="52CB32A1"/>
    <w:rsid w:val="545C1032"/>
    <w:rsid w:val="54E657D5"/>
    <w:rsid w:val="56432918"/>
    <w:rsid w:val="5762675C"/>
    <w:rsid w:val="5A3828D6"/>
    <w:rsid w:val="5C594DF3"/>
    <w:rsid w:val="5CDA1915"/>
    <w:rsid w:val="5E044028"/>
    <w:rsid w:val="60294397"/>
    <w:rsid w:val="614F385A"/>
    <w:rsid w:val="625B10A7"/>
    <w:rsid w:val="62DC4402"/>
    <w:rsid w:val="6311100D"/>
    <w:rsid w:val="67037079"/>
    <w:rsid w:val="67BC36DF"/>
    <w:rsid w:val="6AB01002"/>
    <w:rsid w:val="6B135022"/>
    <w:rsid w:val="6BD9454F"/>
    <w:rsid w:val="6CA253E7"/>
    <w:rsid w:val="6EA05D42"/>
    <w:rsid w:val="6F4149C5"/>
    <w:rsid w:val="70EA60A4"/>
    <w:rsid w:val="70F84FB5"/>
    <w:rsid w:val="71F0665D"/>
    <w:rsid w:val="72155D15"/>
    <w:rsid w:val="72384B27"/>
    <w:rsid w:val="731B1F32"/>
    <w:rsid w:val="75E01E61"/>
    <w:rsid w:val="77C47D15"/>
    <w:rsid w:val="77D321B7"/>
    <w:rsid w:val="77E57577"/>
    <w:rsid w:val="78B66337"/>
    <w:rsid w:val="78CE19D6"/>
    <w:rsid w:val="79146589"/>
    <w:rsid w:val="7C354681"/>
    <w:rsid w:val="7CCB5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autoRedefine/>
    <w:qFormat/>
    <w:uiPriority w:val="9"/>
    <w:pPr>
      <w:numPr>
        <w:ilvl w:val="0"/>
        <w:numId w:val="1"/>
      </w:numPr>
      <w:tabs>
        <w:tab w:val="left" w:pos="1259"/>
      </w:tabs>
      <w:spacing w:line="360" w:lineRule="auto"/>
      <w:outlineLvl w:val="1"/>
    </w:pPr>
    <w:rPr>
      <w:rFonts w:ascii="Cambria" w:hAnsi="Cambria"/>
      <w:b/>
      <w:bCs/>
      <w:szCs w:val="21"/>
    </w:rPr>
  </w:style>
  <w:style w:type="paragraph" w:styleId="4">
    <w:name w:val="heading 3"/>
    <w:basedOn w:val="1"/>
    <w:next w:val="1"/>
    <w:link w:val="47"/>
    <w:qFormat/>
    <w:uiPriority w:val="9"/>
    <w:pPr>
      <w:numPr>
        <w:ilvl w:val="1"/>
        <w:numId w:val="1"/>
      </w:numPr>
      <w:spacing w:line="360" w:lineRule="auto"/>
      <w:outlineLvl w:val="2"/>
    </w:pPr>
    <w:rPr>
      <w:b/>
      <w:bCs/>
      <w:szCs w:val="21"/>
    </w:rPr>
  </w:style>
  <w:style w:type="paragraph" w:styleId="5">
    <w:name w:val="heading 4"/>
    <w:basedOn w:val="1"/>
    <w:next w:val="1"/>
    <w:link w:val="99"/>
    <w:autoRedefine/>
    <w:unhideWhenUsed/>
    <w:qFormat/>
    <w:uiPriority w:val="9"/>
    <w:pPr>
      <w:keepNext/>
      <w:keepLines/>
      <w:numPr>
        <w:ilvl w:val="2"/>
        <w:numId w:val="1"/>
      </w:numPr>
      <w:tabs>
        <w:tab w:val="left" w:pos="1259"/>
        <w:tab w:val="clear" w:pos="1260"/>
      </w:tabs>
      <w:spacing w:line="360" w:lineRule="auto"/>
      <w:outlineLvl w:val="3"/>
    </w:pPr>
    <w:rPr>
      <w:rFonts w:asciiTheme="majorHAnsi" w:hAnsiTheme="majorHAnsi" w:eastAsiaTheme="majorEastAsia" w:cstheme="majorBidi"/>
      <w:b/>
      <w:bCs/>
      <w:szCs w:val="21"/>
    </w:rPr>
  </w:style>
  <w:style w:type="paragraph" w:styleId="6">
    <w:name w:val="heading 5"/>
    <w:basedOn w:val="1"/>
    <w:next w:val="1"/>
    <w:autoRedefine/>
    <w:qFormat/>
    <w:uiPriority w:val="9"/>
    <w:pPr>
      <w:keepNext/>
      <w:keepLines/>
      <w:spacing w:before="280" w:after="290" w:line="372" w:lineRule="auto"/>
      <w:outlineLvl w:val="4"/>
    </w:pPr>
    <w:rPr>
      <w:b/>
      <w:sz w:val="28"/>
    </w:rPr>
  </w:style>
  <w:style w:type="paragraph" w:styleId="7">
    <w:name w:val="heading 6"/>
    <w:basedOn w:val="1"/>
    <w:next w:val="1"/>
    <w:autoRedefine/>
    <w:qFormat/>
    <w:uiPriority w:val="9"/>
    <w:pPr>
      <w:keepNext/>
      <w:keepLines/>
      <w:spacing w:before="240" w:after="64" w:line="317" w:lineRule="auto"/>
      <w:outlineLvl w:val="5"/>
    </w:pPr>
    <w:rPr>
      <w:rFonts w:ascii="Arial" w:hAnsi="Arial" w:eastAsia="黑体"/>
      <w:b/>
      <w:sz w:val="24"/>
    </w:rPr>
  </w:style>
  <w:style w:type="paragraph" w:styleId="8">
    <w:name w:val="heading 7"/>
    <w:basedOn w:val="1"/>
    <w:next w:val="1"/>
    <w:autoRedefine/>
    <w:qFormat/>
    <w:uiPriority w:val="9"/>
    <w:pPr>
      <w:keepNext/>
      <w:keepLines/>
      <w:spacing w:before="240" w:after="64" w:line="317" w:lineRule="auto"/>
      <w:outlineLvl w:val="6"/>
    </w:pPr>
    <w:rPr>
      <w:b/>
      <w:sz w:val="24"/>
    </w:rPr>
  </w:style>
  <w:style w:type="paragraph" w:styleId="9">
    <w:name w:val="heading 8"/>
    <w:basedOn w:val="1"/>
    <w:next w:val="1"/>
    <w:autoRedefine/>
    <w:qFormat/>
    <w:uiPriority w:val="9"/>
    <w:pPr>
      <w:keepNext/>
      <w:keepLines/>
      <w:spacing w:before="240" w:after="64" w:line="317" w:lineRule="auto"/>
      <w:outlineLvl w:val="7"/>
    </w:pPr>
    <w:rPr>
      <w:rFonts w:ascii="Arial" w:hAnsi="Arial" w:eastAsia="黑体"/>
      <w:sz w:val="24"/>
    </w:rPr>
  </w:style>
  <w:style w:type="paragraph" w:styleId="10">
    <w:name w:val="heading 9"/>
    <w:basedOn w:val="1"/>
    <w:next w:val="1"/>
    <w:autoRedefine/>
    <w:qFormat/>
    <w:uiPriority w:val="9"/>
    <w:pPr>
      <w:keepNext/>
      <w:keepLines/>
      <w:spacing w:before="240" w:after="64" w:line="317"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index 8"/>
    <w:basedOn w:val="1"/>
    <w:next w:val="1"/>
    <w:autoRedefine/>
    <w:qFormat/>
    <w:uiPriority w:val="0"/>
    <w:pPr>
      <w:ind w:left="1400" w:leftChars="1400"/>
    </w:pPr>
  </w:style>
  <w:style w:type="paragraph" w:styleId="12">
    <w:name w:val="Normal Indent"/>
    <w:basedOn w:val="1"/>
    <w:link w:val="36"/>
    <w:autoRedefine/>
    <w:qFormat/>
    <w:uiPriority w:val="0"/>
    <w:pPr>
      <w:ind w:firstLine="420"/>
    </w:pPr>
    <w:rPr>
      <w:rFonts w:ascii="Times New Roman" w:hAnsi="Times New Roman"/>
      <w:szCs w:val="20"/>
    </w:rPr>
  </w:style>
  <w:style w:type="paragraph" w:styleId="13">
    <w:name w:val="annotation text"/>
    <w:basedOn w:val="1"/>
    <w:link w:val="33"/>
    <w:autoRedefine/>
    <w:unhideWhenUsed/>
    <w:qFormat/>
    <w:uiPriority w:val="99"/>
    <w:pPr>
      <w:jc w:val="left"/>
    </w:pPr>
    <w:rPr>
      <w:szCs w:val="24"/>
    </w:rPr>
  </w:style>
  <w:style w:type="paragraph" w:styleId="14">
    <w:name w:val="Body Text"/>
    <w:basedOn w:val="1"/>
    <w:link w:val="111"/>
    <w:qFormat/>
    <w:uiPriority w:val="0"/>
    <w:pPr>
      <w:spacing w:line="360" w:lineRule="auto"/>
    </w:pPr>
    <w:rPr>
      <w:b/>
      <w:bCs/>
      <w:sz w:val="24"/>
    </w:rPr>
  </w:style>
  <w:style w:type="paragraph" w:styleId="15">
    <w:name w:val="Body Text Indent"/>
    <w:basedOn w:val="1"/>
    <w:link w:val="48"/>
    <w:autoRedefine/>
    <w:qFormat/>
    <w:uiPriority w:val="0"/>
    <w:pPr>
      <w:spacing w:after="120"/>
      <w:ind w:left="420" w:leftChars="200"/>
    </w:pPr>
    <w:rPr>
      <w:rFonts w:ascii="Times New Roman" w:hAnsi="Times New Roman"/>
      <w:szCs w:val="24"/>
    </w:rPr>
  </w:style>
  <w:style w:type="paragraph" w:styleId="16">
    <w:name w:val="Plain Text"/>
    <w:basedOn w:val="1"/>
    <w:link w:val="44"/>
    <w:autoRedefine/>
    <w:qFormat/>
    <w:uiPriority w:val="99"/>
    <w:rPr>
      <w:rFonts w:ascii="宋体" w:hAnsi="Courier New"/>
      <w:kern w:val="0"/>
      <w:sz w:val="20"/>
      <w:szCs w:val="21"/>
    </w:rPr>
  </w:style>
  <w:style w:type="paragraph" w:styleId="17">
    <w:name w:val="Balloon Text"/>
    <w:basedOn w:val="1"/>
    <w:link w:val="49"/>
    <w:autoRedefine/>
    <w:unhideWhenUsed/>
    <w:qFormat/>
    <w:uiPriority w:val="99"/>
    <w:rPr>
      <w:sz w:val="18"/>
      <w:szCs w:val="18"/>
    </w:rPr>
  </w:style>
  <w:style w:type="paragraph" w:styleId="18">
    <w:name w:val="footer"/>
    <w:basedOn w:val="1"/>
    <w:link w:val="43"/>
    <w:unhideWhenUsed/>
    <w:qFormat/>
    <w:uiPriority w:val="99"/>
    <w:pPr>
      <w:tabs>
        <w:tab w:val="center" w:pos="4153"/>
        <w:tab w:val="right" w:pos="8306"/>
      </w:tabs>
      <w:snapToGrid w:val="0"/>
      <w:jc w:val="left"/>
    </w:pPr>
    <w:rPr>
      <w:sz w:val="18"/>
      <w:szCs w:val="18"/>
    </w:rPr>
  </w:style>
  <w:style w:type="paragraph" w:styleId="19">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Body Text Indent 3"/>
    <w:basedOn w:val="1"/>
    <w:link w:val="37"/>
    <w:autoRedefine/>
    <w:qFormat/>
    <w:uiPriority w:val="0"/>
    <w:pPr>
      <w:spacing w:after="120"/>
      <w:ind w:left="420" w:leftChars="200"/>
    </w:pPr>
    <w:rPr>
      <w:rFonts w:ascii="Times New Roman" w:hAnsi="Times New Roman"/>
      <w:sz w:val="16"/>
      <w:szCs w:val="16"/>
    </w:rPr>
  </w:style>
  <w:style w:type="paragraph" w:styleId="21">
    <w:name w:val="toc 2"/>
    <w:basedOn w:val="1"/>
    <w:next w:val="1"/>
    <w:autoRedefine/>
    <w:qFormat/>
    <w:uiPriority w:val="39"/>
    <w:pPr>
      <w:tabs>
        <w:tab w:val="left" w:pos="1080"/>
        <w:tab w:val="right" w:leader="dot" w:pos="9540"/>
        <w:tab w:val="right" w:leader="dot" w:pos="9628"/>
      </w:tabs>
      <w:ind w:left="150" w:leftChars="150" w:right="-34" w:rightChars="-34"/>
      <w:jc w:val="left"/>
    </w:pPr>
    <w:rPr>
      <w:rFonts w:ascii="Times New Roman" w:hAnsi="Times New Roman"/>
      <w:smallCaps/>
      <w:sz w:val="20"/>
    </w:rPr>
  </w:style>
  <w:style w:type="paragraph" w:styleId="22">
    <w:name w:val="Message Header"/>
    <w:basedOn w:val="1"/>
    <w:link w:val="110"/>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Normal (Web)"/>
    <w:basedOn w:val="1"/>
    <w:link w:val="50"/>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51"/>
    <w:autoRedefine/>
    <w:qFormat/>
    <w:uiPriority w:val="0"/>
    <w:pPr>
      <w:spacing w:before="240" w:after="60"/>
      <w:jc w:val="center"/>
      <w:outlineLvl w:val="0"/>
    </w:pPr>
    <w:rPr>
      <w:rFonts w:ascii="Cambria" w:hAnsi="Cambria"/>
      <w:b/>
      <w:bCs/>
      <w:kern w:val="0"/>
      <w:sz w:val="32"/>
      <w:szCs w:val="32"/>
    </w:rPr>
  </w:style>
  <w:style w:type="paragraph" w:styleId="25">
    <w:name w:val="annotation subject"/>
    <w:basedOn w:val="13"/>
    <w:next w:val="13"/>
    <w:link w:val="39"/>
    <w:autoRedefine/>
    <w:unhideWhenUsed/>
    <w:qFormat/>
    <w:uiPriority w:val="99"/>
    <w:rPr>
      <w:b/>
      <w:bCs/>
    </w:rPr>
  </w:style>
  <w:style w:type="table" w:styleId="27">
    <w:name w:val="Table Grid"/>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unhideWhenUsed/>
    <w:qFormat/>
    <w:uiPriority w:val="99"/>
    <w:rPr>
      <w:sz w:val="21"/>
      <w:szCs w:val="21"/>
    </w:rPr>
  </w:style>
  <w:style w:type="character" w:customStyle="1" w:styleId="33">
    <w:name w:val="批注文字 字符"/>
    <w:link w:val="13"/>
    <w:qFormat/>
    <w:uiPriority w:val="99"/>
    <w:rPr>
      <w:kern w:val="2"/>
      <w:sz w:val="21"/>
      <w:szCs w:val="22"/>
    </w:rPr>
  </w:style>
  <w:style w:type="character" w:customStyle="1" w:styleId="34">
    <w:name w:val="批注文字 字符1"/>
    <w:qFormat/>
    <w:uiPriority w:val="99"/>
  </w:style>
  <w:style w:type="character" w:customStyle="1" w:styleId="35">
    <w:name w:val="页眉 字符"/>
    <w:link w:val="19"/>
    <w:qFormat/>
    <w:uiPriority w:val="99"/>
    <w:rPr>
      <w:kern w:val="2"/>
      <w:sz w:val="18"/>
      <w:szCs w:val="18"/>
    </w:rPr>
  </w:style>
  <w:style w:type="character" w:customStyle="1" w:styleId="36">
    <w:name w:val="正文缩进 字符"/>
    <w:link w:val="12"/>
    <w:qFormat/>
    <w:locked/>
    <w:uiPriority w:val="0"/>
    <w:rPr>
      <w:rFonts w:ascii="Times New Roman" w:hAnsi="Times New Roman"/>
      <w:kern w:val="2"/>
      <w:sz w:val="21"/>
    </w:rPr>
  </w:style>
  <w:style w:type="character" w:customStyle="1" w:styleId="37">
    <w:name w:val="正文文本缩进 3 字符"/>
    <w:link w:val="20"/>
    <w:qFormat/>
    <w:uiPriority w:val="0"/>
    <w:rPr>
      <w:rFonts w:ascii="Times New Roman" w:hAnsi="Times New Roman"/>
      <w:kern w:val="2"/>
      <w:sz w:val="16"/>
      <w:szCs w:val="16"/>
    </w:rPr>
  </w:style>
  <w:style w:type="character" w:customStyle="1" w:styleId="38">
    <w:name w:val="列出段落 Char"/>
    <w:qFormat/>
    <w:uiPriority w:val="0"/>
  </w:style>
  <w:style w:type="character" w:customStyle="1" w:styleId="39">
    <w:name w:val="批注主题 字符"/>
    <w:link w:val="25"/>
    <w:semiHidden/>
    <w:qFormat/>
    <w:uiPriority w:val="99"/>
    <w:rPr>
      <w:b/>
      <w:bCs/>
      <w:kern w:val="2"/>
      <w:sz w:val="21"/>
      <w:szCs w:val="22"/>
    </w:rPr>
  </w:style>
  <w:style w:type="character" w:customStyle="1" w:styleId="40">
    <w:name w:val="List Paragraph Char"/>
    <w:link w:val="41"/>
    <w:qFormat/>
    <w:locked/>
    <w:uiPriority w:val="34"/>
    <w:rPr>
      <w:kern w:val="2"/>
      <w:sz w:val="21"/>
      <w:szCs w:val="24"/>
    </w:rPr>
  </w:style>
  <w:style w:type="paragraph" w:customStyle="1" w:styleId="41">
    <w:name w:val="列出段落1"/>
    <w:basedOn w:val="1"/>
    <w:link w:val="40"/>
    <w:qFormat/>
    <w:uiPriority w:val="0"/>
    <w:pPr>
      <w:ind w:firstLine="420" w:firstLineChars="200"/>
    </w:pPr>
    <w:rPr>
      <w:szCs w:val="24"/>
    </w:rPr>
  </w:style>
  <w:style w:type="character" w:customStyle="1" w:styleId="42">
    <w:name w:val="列表段落 字符1"/>
    <w:qFormat/>
    <w:uiPriority w:val="34"/>
  </w:style>
  <w:style w:type="character" w:customStyle="1" w:styleId="43">
    <w:name w:val="页脚 字符"/>
    <w:link w:val="18"/>
    <w:qFormat/>
    <w:uiPriority w:val="99"/>
    <w:rPr>
      <w:kern w:val="2"/>
      <w:sz w:val="18"/>
      <w:szCs w:val="18"/>
    </w:rPr>
  </w:style>
  <w:style w:type="character" w:customStyle="1" w:styleId="44">
    <w:name w:val="纯文本 字符"/>
    <w:link w:val="16"/>
    <w:qFormat/>
    <w:uiPriority w:val="0"/>
    <w:rPr>
      <w:rFonts w:ascii="宋体" w:hAnsi="Courier New"/>
      <w:szCs w:val="21"/>
    </w:rPr>
  </w:style>
  <w:style w:type="character" w:customStyle="1" w:styleId="45">
    <w:name w:val="标题 1 字符"/>
    <w:link w:val="2"/>
    <w:qFormat/>
    <w:uiPriority w:val="9"/>
    <w:rPr>
      <w:b/>
      <w:bCs/>
      <w:kern w:val="44"/>
      <w:sz w:val="44"/>
      <w:szCs w:val="44"/>
    </w:rPr>
  </w:style>
  <w:style w:type="character" w:customStyle="1" w:styleId="46">
    <w:name w:val="标题 2 字符"/>
    <w:link w:val="3"/>
    <w:qFormat/>
    <w:uiPriority w:val="9"/>
    <w:rPr>
      <w:rFonts w:ascii="Cambria" w:hAnsi="Cambria"/>
      <w:b/>
      <w:bCs/>
      <w:kern w:val="2"/>
      <w:sz w:val="21"/>
      <w:szCs w:val="21"/>
    </w:rPr>
  </w:style>
  <w:style w:type="character" w:customStyle="1" w:styleId="47">
    <w:name w:val="标题 3 字符"/>
    <w:link w:val="4"/>
    <w:qFormat/>
    <w:uiPriority w:val="9"/>
    <w:rPr>
      <w:rFonts w:ascii="Calibri" w:hAnsi="Calibri"/>
      <w:b/>
      <w:bCs/>
      <w:kern w:val="2"/>
      <w:sz w:val="21"/>
      <w:szCs w:val="21"/>
    </w:rPr>
  </w:style>
  <w:style w:type="character" w:customStyle="1" w:styleId="48">
    <w:name w:val="正文文本缩进 字符"/>
    <w:link w:val="15"/>
    <w:qFormat/>
    <w:uiPriority w:val="0"/>
    <w:rPr>
      <w:rFonts w:ascii="Times New Roman" w:hAnsi="Times New Roman"/>
      <w:kern w:val="2"/>
      <w:sz w:val="21"/>
      <w:szCs w:val="24"/>
    </w:rPr>
  </w:style>
  <w:style w:type="character" w:customStyle="1" w:styleId="49">
    <w:name w:val="批注框文本 字符"/>
    <w:link w:val="17"/>
    <w:semiHidden/>
    <w:qFormat/>
    <w:uiPriority w:val="99"/>
    <w:rPr>
      <w:kern w:val="2"/>
      <w:sz w:val="18"/>
      <w:szCs w:val="18"/>
    </w:rPr>
  </w:style>
  <w:style w:type="character" w:customStyle="1" w:styleId="50">
    <w:name w:val="普通(网站) 字符"/>
    <w:link w:val="23"/>
    <w:autoRedefine/>
    <w:qFormat/>
    <w:uiPriority w:val="99"/>
    <w:rPr>
      <w:rFonts w:ascii="宋体" w:hAnsi="宋体" w:cs="宋体"/>
      <w:sz w:val="24"/>
      <w:szCs w:val="24"/>
    </w:rPr>
  </w:style>
  <w:style w:type="character" w:customStyle="1" w:styleId="51">
    <w:name w:val="标题 字符"/>
    <w:link w:val="24"/>
    <w:qFormat/>
    <w:uiPriority w:val="0"/>
    <w:rPr>
      <w:rFonts w:ascii="Cambria" w:hAnsi="Cambria" w:eastAsia="宋体" w:cs="Times New Roman"/>
      <w:b/>
      <w:bCs/>
      <w:sz w:val="32"/>
      <w:szCs w:val="32"/>
    </w:rPr>
  </w:style>
  <w:style w:type="character" w:customStyle="1" w:styleId="52">
    <w:name w:val="纯文本 Char1"/>
    <w:qFormat/>
    <w:uiPriority w:val="0"/>
    <w:rPr>
      <w:rFonts w:ascii="宋体" w:hAnsi="Courier New" w:eastAsia="宋体" w:cs="Times New Roman"/>
      <w:kern w:val="0"/>
      <w:sz w:val="20"/>
      <w:szCs w:val="21"/>
    </w:rPr>
  </w:style>
  <w:style w:type="character" w:customStyle="1" w:styleId="53">
    <w:name w:val="列表段落 字符"/>
    <w:link w:val="54"/>
    <w:qFormat/>
    <w:uiPriority w:val="34"/>
    <w:rPr>
      <w:kern w:val="2"/>
      <w:sz w:val="21"/>
      <w:szCs w:val="22"/>
    </w:rPr>
  </w:style>
  <w:style w:type="paragraph" w:customStyle="1" w:styleId="54">
    <w:name w:val="列表段落1"/>
    <w:basedOn w:val="1"/>
    <w:link w:val="53"/>
    <w:qFormat/>
    <w:uiPriority w:val="34"/>
    <w:pPr>
      <w:ind w:firstLine="420" w:firstLineChars="200"/>
    </w:pPr>
  </w:style>
  <w:style w:type="character" w:customStyle="1" w:styleId="55">
    <w:name w:val="font171"/>
    <w:qFormat/>
    <w:uiPriority w:val="0"/>
    <w:rPr>
      <w:rFonts w:hint="eastAsia" w:ascii="宋体" w:hAnsi="宋体" w:eastAsia="宋体" w:cs="宋体"/>
      <w:color w:val="339966"/>
      <w:sz w:val="20"/>
      <w:szCs w:val="20"/>
      <w:u w:val="none"/>
    </w:rPr>
  </w:style>
  <w:style w:type="character" w:customStyle="1" w:styleId="56">
    <w:name w:val="纯文本 Char"/>
    <w:qFormat/>
    <w:uiPriority w:val="99"/>
    <w:rPr>
      <w:rFonts w:ascii="宋体" w:hAnsi="Courier New" w:cs="Courier New"/>
      <w:kern w:val="2"/>
      <w:sz w:val="21"/>
      <w:szCs w:val="21"/>
    </w:rPr>
  </w:style>
  <w:style w:type="character" w:customStyle="1" w:styleId="57">
    <w:name w:val="批注文字 Char"/>
    <w:qFormat/>
    <w:uiPriority w:val="99"/>
    <w:rPr>
      <w:rFonts w:ascii="Times New Roman" w:hAnsi="Times New Roman" w:eastAsia="宋体" w:cs="Times New Roman"/>
      <w:kern w:val="0"/>
      <w:sz w:val="20"/>
      <w:szCs w:val="20"/>
    </w:rPr>
  </w:style>
  <w:style w:type="character" w:customStyle="1" w:styleId="58">
    <w:name w:val="纯文本 字符1"/>
    <w:qFormat/>
    <w:uiPriority w:val="0"/>
    <w:rPr>
      <w:rFonts w:ascii="宋体" w:hAnsi="Courier New" w:eastAsia="宋体" w:cs="Courier New"/>
      <w:szCs w:val="21"/>
    </w:rPr>
  </w:style>
  <w:style w:type="paragraph" w:customStyle="1" w:styleId="59">
    <w:name w:val="_Style 121"/>
    <w:basedOn w:val="1"/>
    <w:next w:val="54"/>
    <w:qFormat/>
    <w:uiPriority w:val="34"/>
    <w:pPr>
      <w:ind w:firstLine="420" w:firstLineChars="200"/>
    </w:pPr>
  </w:style>
  <w:style w:type="paragraph" w:customStyle="1" w:styleId="60">
    <w:name w:val="样式5"/>
    <w:basedOn w:val="1"/>
    <w:next w:val="9"/>
    <w:qFormat/>
    <w:uiPriority w:val="0"/>
    <w:pPr>
      <w:tabs>
        <w:tab w:val="left" w:pos="420"/>
      </w:tabs>
      <w:autoSpaceDE w:val="0"/>
      <w:autoSpaceDN w:val="0"/>
      <w:adjustRightInd w:val="0"/>
      <w:spacing w:line="360" w:lineRule="auto"/>
      <w:ind w:left="420" w:hanging="420"/>
      <w:jc w:val="left"/>
    </w:pPr>
    <w:rPr>
      <w:rFonts w:hint="eastAsia" w:ascii="宋体" w:hAnsi="宋体"/>
      <w:b/>
    </w:rPr>
  </w:style>
  <w:style w:type="paragraph" w:customStyle="1" w:styleId="61">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修订2"/>
    <w:semiHidden/>
    <w:qFormat/>
    <w:uiPriority w:val="99"/>
    <w:rPr>
      <w:rFonts w:ascii="Calibri" w:hAnsi="Calibri" w:eastAsia="宋体" w:cs="Times New Roman"/>
      <w:kern w:val="2"/>
      <w:sz w:val="21"/>
      <w:szCs w:val="22"/>
      <w:lang w:val="en-US" w:eastAsia="zh-CN" w:bidi="ar-SA"/>
    </w:rPr>
  </w:style>
  <w:style w:type="paragraph" w:customStyle="1" w:styleId="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5">
    <w:name w:val="修订1"/>
    <w:semiHidden/>
    <w:qFormat/>
    <w:uiPriority w:val="99"/>
    <w:rPr>
      <w:rFonts w:ascii="Calibri" w:hAnsi="Calibri" w:eastAsia="宋体" w:cs="Times New Roman"/>
      <w:kern w:val="2"/>
      <w:sz w:val="21"/>
      <w:szCs w:val="22"/>
      <w:lang w:val="en-US" w:eastAsia="zh-CN" w:bidi="ar-SA"/>
    </w:rPr>
  </w:style>
  <w:style w:type="paragraph" w:customStyle="1" w:styleId="66">
    <w:name w:val="列表段落2"/>
    <w:basedOn w:val="1"/>
    <w:qFormat/>
    <w:uiPriority w:val="99"/>
    <w:pPr>
      <w:ind w:firstLine="420" w:firstLineChars="200"/>
    </w:pPr>
  </w:style>
  <w:style w:type="paragraph" w:customStyle="1" w:styleId="6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9">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
    <w:name w:val="文档正文"/>
    <w:basedOn w:val="1"/>
    <w:qFormat/>
    <w:uiPriority w:val="0"/>
    <w:pPr>
      <w:autoSpaceDE w:val="0"/>
      <w:autoSpaceDN w:val="0"/>
      <w:adjustRightInd w:val="0"/>
      <w:spacing w:line="460" w:lineRule="exact"/>
      <w:ind w:firstLine="567"/>
      <w:jc w:val="left"/>
      <w:textAlignment w:val="baseline"/>
    </w:pPr>
    <w:rPr>
      <w:rFonts w:ascii="Arial" w:hAnsi="Arial" w:eastAsia="Droid Sans Fallback" w:cs="Droid Sans Fallback"/>
      <w:kern w:val="0"/>
      <w:sz w:val="24"/>
    </w:rPr>
  </w:style>
  <w:style w:type="paragraph" w:customStyle="1" w:styleId="7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2">
    <w:name w:val="样式8"/>
    <w:basedOn w:val="1"/>
    <w:qFormat/>
    <w:uiPriority w:val="0"/>
    <w:pPr>
      <w:tabs>
        <w:tab w:val="left" w:pos="420"/>
      </w:tabs>
      <w:autoSpaceDE w:val="0"/>
      <w:autoSpaceDN w:val="0"/>
      <w:adjustRightInd w:val="0"/>
      <w:spacing w:line="360" w:lineRule="auto"/>
      <w:ind w:hanging="420"/>
      <w:jc w:val="left"/>
    </w:pPr>
    <w:rPr>
      <w:rFonts w:hint="eastAsia" w:ascii="宋体" w:hAnsi="宋体"/>
      <w:b/>
    </w:rPr>
  </w:style>
  <w:style w:type="paragraph" w:customStyle="1" w:styleId="73">
    <w:name w:val="列表段落11"/>
    <w:basedOn w:val="1"/>
    <w:autoRedefine/>
    <w:qFormat/>
    <w:uiPriority w:val="34"/>
    <w:pPr>
      <w:ind w:firstLine="420" w:firstLineChars="200"/>
    </w:pPr>
  </w:style>
  <w:style w:type="paragraph" w:customStyle="1" w:styleId="74">
    <w:name w:val="正文_4"/>
    <w:qFormat/>
    <w:uiPriority w:val="0"/>
    <w:rPr>
      <w:rFonts w:ascii="Times New Roman" w:hAnsi="Times New Roman" w:eastAsia="宋体" w:cs="Times New Roman"/>
      <w:sz w:val="21"/>
      <w:lang w:val="en-US" w:eastAsia="zh-CN" w:bidi="ar-SA"/>
    </w:rPr>
  </w:style>
  <w:style w:type="paragraph" w:customStyle="1" w:styleId="75">
    <w:name w:val="样式"/>
    <w:qFormat/>
    <w:uiPriority w:val="99"/>
    <w:pPr>
      <w:widowControl w:val="0"/>
      <w:autoSpaceDE w:val="0"/>
      <w:autoSpaceDN w:val="0"/>
      <w:adjustRightInd w:val="0"/>
    </w:pPr>
    <w:rPr>
      <w:rFonts w:ascii="Times New Roman" w:hAnsi="Times New Roman" w:eastAsia="宋体" w:cs="Times New Roman"/>
      <w:sz w:val="24"/>
      <w:lang w:val="en-US" w:eastAsia="zh-CN" w:bidi="ar-SA"/>
    </w:rPr>
  </w:style>
  <w:style w:type="paragraph" w:customStyle="1" w:styleId="76">
    <w:name w:val="纯文本_0_0"/>
    <w:basedOn w:val="74"/>
    <w:unhideWhenUsed/>
    <w:qFormat/>
    <w:uiPriority w:val="0"/>
    <w:rPr>
      <w:rFonts w:ascii="宋体" w:hAnsi="Courier New"/>
      <w:sz w:val="20"/>
      <w:szCs w:val="21"/>
    </w:rPr>
  </w:style>
  <w:style w:type="paragraph" w:customStyle="1" w:styleId="77">
    <w:name w:val="样式6"/>
    <w:basedOn w:val="1"/>
    <w:next w:val="10"/>
    <w:qFormat/>
    <w:uiPriority w:val="0"/>
    <w:pPr>
      <w:tabs>
        <w:tab w:val="left" w:pos="420"/>
      </w:tabs>
      <w:autoSpaceDE w:val="0"/>
      <w:autoSpaceDN w:val="0"/>
      <w:adjustRightInd w:val="0"/>
      <w:spacing w:line="360" w:lineRule="auto"/>
      <w:ind w:hanging="420"/>
      <w:jc w:val="left"/>
    </w:pPr>
    <w:rPr>
      <w:rFonts w:hint="eastAsia" w:ascii="宋体" w:hAnsi="宋体"/>
      <w:b/>
    </w:rPr>
  </w:style>
  <w:style w:type="paragraph" w:customStyle="1" w:styleId="78">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79">
    <w:name w:val="修订4"/>
    <w:semiHidden/>
    <w:qFormat/>
    <w:uiPriority w:val="99"/>
    <w:rPr>
      <w:rFonts w:ascii="Calibri" w:hAnsi="Calibri" w:eastAsia="宋体" w:cs="Times New Roman"/>
      <w:kern w:val="2"/>
      <w:sz w:val="21"/>
      <w:szCs w:val="22"/>
      <w:lang w:val="en-US" w:eastAsia="zh-CN" w:bidi="ar-SA"/>
    </w:rPr>
  </w:style>
  <w:style w:type="paragraph" w:customStyle="1" w:styleId="80">
    <w:name w:val="_Style 32"/>
    <w:basedOn w:val="1"/>
    <w:next w:val="1"/>
    <w:qFormat/>
    <w:uiPriority w:val="0"/>
    <w:pPr>
      <w:pBdr>
        <w:bottom w:val="single" w:color="auto" w:sz="6" w:space="1"/>
      </w:pBdr>
      <w:jc w:val="center"/>
    </w:pPr>
    <w:rPr>
      <w:rFonts w:ascii="Arial"/>
      <w:vanish/>
      <w:sz w:val="16"/>
    </w:rPr>
  </w:style>
  <w:style w:type="paragraph" w:customStyle="1" w:styleId="81">
    <w:name w:val="样式7"/>
    <w:basedOn w:val="1"/>
    <w:qFormat/>
    <w:uiPriority w:val="0"/>
    <w:pPr>
      <w:tabs>
        <w:tab w:val="left" w:pos="420"/>
      </w:tabs>
      <w:autoSpaceDE w:val="0"/>
      <w:autoSpaceDN w:val="0"/>
      <w:adjustRightInd w:val="0"/>
      <w:spacing w:line="360" w:lineRule="auto"/>
      <w:ind w:hanging="420"/>
      <w:jc w:val="left"/>
    </w:pPr>
    <w:rPr>
      <w:rFonts w:hint="eastAsia" w:ascii="宋体" w:hAnsi="宋体"/>
      <w:b/>
    </w:rPr>
  </w:style>
  <w:style w:type="paragraph" w:customStyle="1" w:styleId="82">
    <w:name w:val="列表段落3"/>
    <w:basedOn w:val="1"/>
    <w:qFormat/>
    <w:uiPriority w:val="34"/>
    <w:pPr>
      <w:ind w:firstLine="420" w:firstLineChars="200"/>
    </w:pPr>
  </w:style>
  <w:style w:type="paragraph" w:customStyle="1" w:styleId="83">
    <w:name w:val="Table Paragraph"/>
    <w:basedOn w:val="1"/>
    <w:qFormat/>
    <w:uiPriority w:val="1"/>
    <w:rPr>
      <w:rFonts w:ascii="宋体" w:hAnsi="宋体" w:cs="宋体"/>
      <w:szCs w:val="24"/>
      <w:lang w:val="zh-CN" w:bidi="zh-CN"/>
    </w:rPr>
  </w:style>
  <w:style w:type="paragraph" w:customStyle="1" w:styleId="84">
    <w:name w:val="样式3"/>
    <w:basedOn w:val="1"/>
    <w:next w:val="7"/>
    <w:qFormat/>
    <w:uiPriority w:val="0"/>
    <w:pPr>
      <w:tabs>
        <w:tab w:val="left" w:pos="420"/>
      </w:tabs>
      <w:autoSpaceDE w:val="0"/>
      <w:autoSpaceDN w:val="0"/>
      <w:adjustRightInd w:val="0"/>
      <w:spacing w:line="360" w:lineRule="auto"/>
      <w:ind w:left="420" w:hanging="420"/>
      <w:jc w:val="left"/>
    </w:pPr>
    <w:rPr>
      <w:rFonts w:hint="eastAsia" w:ascii="宋体" w:hAnsi="宋体"/>
      <w:b/>
    </w:rPr>
  </w:style>
  <w:style w:type="paragraph" w:customStyle="1" w:styleId="85">
    <w:name w:val="_Style 51"/>
    <w:basedOn w:val="1"/>
    <w:next w:val="54"/>
    <w:qFormat/>
    <w:uiPriority w:val="34"/>
    <w:pPr>
      <w:ind w:firstLine="420" w:firstLineChars="200"/>
    </w:pPr>
    <w:rPr>
      <w:rFonts w:ascii="Times New Roman" w:hAnsi="Times New Roman"/>
    </w:rPr>
  </w:style>
  <w:style w:type="paragraph" w:customStyle="1" w:styleId="8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7">
    <w:name w:val="p0"/>
    <w:basedOn w:val="1"/>
    <w:qFormat/>
    <w:uiPriority w:val="0"/>
    <w:pPr>
      <w:widowControl/>
    </w:pPr>
    <w:rPr>
      <w:rFonts w:ascii="Times New Roman" w:hAnsi="Times New Roman"/>
      <w:kern w:val="0"/>
      <w:szCs w:val="21"/>
    </w:rPr>
  </w:style>
  <w:style w:type="paragraph" w:customStyle="1" w:styleId="88">
    <w:name w:val="样式2"/>
    <w:basedOn w:val="6"/>
    <w:next w:val="1"/>
    <w:qFormat/>
    <w:uiPriority w:val="0"/>
    <w:pPr>
      <w:tabs>
        <w:tab w:val="left" w:pos="420"/>
      </w:tabs>
      <w:autoSpaceDE w:val="0"/>
      <w:autoSpaceDN w:val="0"/>
      <w:adjustRightInd w:val="0"/>
      <w:spacing w:line="360" w:lineRule="auto"/>
      <w:ind w:left="420" w:hanging="420"/>
      <w:jc w:val="left"/>
    </w:pPr>
    <w:rPr>
      <w:rFonts w:hint="eastAsia" w:ascii="宋体" w:hAnsi="宋体"/>
    </w:rPr>
  </w:style>
  <w:style w:type="paragraph" w:customStyle="1" w:styleId="89">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0">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92">
    <w:name w:val="修订3"/>
    <w:semiHidden/>
    <w:qFormat/>
    <w:uiPriority w:val="99"/>
    <w:rPr>
      <w:rFonts w:ascii="Calibri" w:hAnsi="Calibri" w:eastAsia="宋体" w:cs="Times New Roman"/>
      <w:kern w:val="2"/>
      <w:sz w:val="21"/>
      <w:szCs w:val="22"/>
      <w:lang w:val="en-US" w:eastAsia="zh-CN" w:bidi="ar-SA"/>
    </w:rPr>
  </w:style>
  <w:style w:type="paragraph" w:customStyle="1" w:styleId="93">
    <w:name w:val="修订5"/>
    <w:semiHidden/>
    <w:qFormat/>
    <w:uiPriority w:val="99"/>
    <w:rPr>
      <w:rFonts w:ascii="Calibri" w:hAnsi="Calibri" w:eastAsia="宋体" w:cs="Times New Roman"/>
      <w:kern w:val="2"/>
      <w:sz w:val="21"/>
      <w:szCs w:val="22"/>
      <w:lang w:val="en-US" w:eastAsia="zh-CN" w:bidi="ar-SA"/>
    </w:rPr>
  </w:style>
  <w:style w:type="paragraph" w:customStyle="1" w:styleId="94">
    <w:name w:val="样式4"/>
    <w:basedOn w:val="1"/>
    <w:next w:val="8"/>
    <w:qFormat/>
    <w:uiPriority w:val="0"/>
    <w:pPr>
      <w:tabs>
        <w:tab w:val="left" w:pos="420"/>
      </w:tabs>
      <w:autoSpaceDE w:val="0"/>
      <w:autoSpaceDN w:val="0"/>
      <w:adjustRightInd w:val="0"/>
      <w:spacing w:line="360" w:lineRule="auto"/>
      <w:ind w:left="420" w:hanging="420"/>
      <w:jc w:val="left"/>
    </w:pPr>
    <w:rPr>
      <w:rFonts w:hint="eastAsia" w:ascii="宋体" w:hAnsi="宋体"/>
      <w:b/>
    </w:rPr>
  </w:style>
  <w:style w:type="paragraph" w:customStyle="1" w:styleId="95">
    <w:name w:val="样式1"/>
    <w:basedOn w:val="1"/>
    <w:qFormat/>
    <w:uiPriority w:val="0"/>
    <w:pPr>
      <w:tabs>
        <w:tab w:val="left" w:pos="420"/>
      </w:tabs>
      <w:autoSpaceDE w:val="0"/>
      <w:autoSpaceDN w:val="0"/>
      <w:adjustRightInd w:val="0"/>
      <w:ind w:left="420" w:hanging="420"/>
      <w:jc w:val="left"/>
    </w:pPr>
    <w:rPr>
      <w:rFonts w:hint="eastAsia" w:ascii="宋体" w:hAnsi="宋体"/>
      <w:b/>
    </w:rPr>
  </w:style>
  <w:style w:type="paragraph" w:customStyle="1" w:styleId="96">
    <w:name w:val="修订6"/>
    <w:unhideWhenUsed/>
    <w:uiPriority w:val="99"/>
    <w:rPr>
      <w:rFonts w:ascii="Calibri" w:hAnsi="Calibri" w:eastAsia="宋体" w:cs="Times New Roman"/>
      <w:kern w:val="2"/>
      <w:sz w:val="21"/>
      <w:szCs w:val="22"/>
      <w:lang w:val="en-US" w:eastAsia="zh-CN" w:bidi="ar-SA"/>
    </w:rPr>
  </w:style>
  <w:style w:type="paragraph" w:styleId="97">
    <w:name w:val="List Paragraph"/>
    <w:basedOn w:val="1"/>
    <w:unhideWhenUsed/>
    <w:qFormat/>
    <w:uiPriority w:val="34"/>
    <w:pPr>
      <w:ind w:firstLine="420" w:firstLineChars="200"/>
    </w:pPr>
  </w:style>
  <w:style w:type="paragraph" w:customStyle="1" w:styleId="98">
    <w:name w:val="修订7"/>
    <w:hidden/>
    <w:semiHidden/>
    <w:uiPriority w:val="99"/>
    <w:rPr>
      <w:rFonts w:ascii="Calibri" w:hAnsi="Calibri" w:eastAsia="宋体" w:cs="Times New Roman"/>
      <w:kern w:val="2"/>
      <w:sz w:val="21"/>
      <w:szCs w:val="22"/>
      <w:lang w:val="en-US" w:eastAsia="zh-CN" w:bidi="ar-SA"/>
    </w:rPr>
  </w:style>
  <w:style w:type="character" w:customStyle="1" w:styleId="99">
    <w:name w:val="标题 4 字符"/>
    <w:basedOn w:val="28"/>
    <w:link w:val="5"/>
    <w:qFormat/>
    <w:uiPriority w:val="9"/>
    <w:rPr>
      <w:rFonts w:asciiTheme="majorHAnsi" w:hAnsiTheme="majorHAnsi" w:eastAsiaTheme="majorEastAsia" w:cstheme="majorBidi"/>
      <w:b/>
      <w:bCs/>
      <w:kern w:val="2"/>
      <w:sz w:val="21"/>
      <w:szCs w:val="21"/>
    </w:rPr>
  </w:style>
  <w:style w:type="character" w:customStyle="1" w:styleId="100">
    <w:name w:val="font01"/>
    <w:basedOn w:val="28"/>
    <w:uiPriority w:val="0"/>
    <w:rPr>
      <w:rFonts w:ascii="Calibri" w:hAnsi="Calibri" w:cs="Calibri"/>
      <w:color w:val="000000"/>
      <w:sz w:val="21"/>
      <w:szCs w:val="21"/>
      <w:u w:val="none"/>
    </w:rPr>
  </w:style>
  <w:style w:type="paragraph" w:customStyle="1" w:styleId="101">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102">
    <w:name w:val="修订8"/>
    <w:hidden/>
    <w:semiHidden/>
    <w:uiPriority w:val="99"/>
    <w:rPr>
      <w:rFonts w:ascii="Calibri" w:hAnsi="Calibri" w:eastAsia="宋体" w:cs="Times New Roman"/>
      <w:kern w:val="2"/>
      <w:sz w:val="21"/>
      <w:szCs w:val="22"/>
      <w:lang w:val="en-US" w:eastAsia="zh-CN" w:bidi="ar-SA"/>
    </w:rPr>
  </w:style>
  <w:style w:type="paragraph" w:customStyle="1" w:styleId="103">
    <w:name w:val="修订9"/>
    <w:hidden/>
    <w:semiHidden/>
    <w:qFormat/>
    <w:uiPriority w:val="99"/>
    <w:rPr>
      <w:rFonts w:ascii="Calibri" w:hAnsi="Calibri" w:eastAsia="宋体" w:cs="Times New Roman"/>
      <w:kern w:val="2"/>
      <w:sz w:val="21"/>
      <w:szCs w:val="22"/>
      <w:lang w:val="en-US" w:eastAsia="zh-CN" w:bidi="ar-SA"/>
    </w:rPr>
  </w:style>
  <w:style w:type="character" w:customStyle="1" w:styleId="104">
    <w:name w:val="一级标题 字符"/>
    <w:link w:val="105"/>
    <w:uiPriority w:val="0"/>
    <w:rPr>
      <w:rFonts w:ascii="黑体" w:hAnsi="宋体" w:eastAsia="黑体"/>
      <w:kern w:val="2"/>
      <w:sz w:val="30"/>
      <w:szCs w:val="30"/>
    </w:rPr>
  </w:style>
  <w:style w:type="paragraph" w:customStyle="1" w:styleId="105">
    <w:name w:val="一级标题"/>
    <w:basedOn w:val="1"/>
    <w:link w:val="104"/>
    <w:qFormat/>
    <w:uiPriority w:val="0"/>
    <w:pPr>
      <w:ind w:left="420" w:hanging="420"/>
      <w:jc w:val="left"/>
      <w:outlineLvl w:val="0"/>
    </w:pPr>
    <w:rPr>
      <w:rFonts w:ascii="黑体" w:hAnsi="宋体" w:eastAsia="黑体"/>
      <w:sz w:val="30"/>
      <w:szCs w:val="30"/>
    </w:rPr>
  </w:style>
  <w:style w:type="character" w:customStyle="1" w:styleId="106">
    <w:name w:val="三级标题 字符"/>
    <w:link w:val="107"/>
    <w:uiPriority w:val="0"/>
    <w:rPr>
      <w:rFonts w:ascii="仿宋_GB2312" w:hAnsi="仿宋" w:eastAsia="仿宋_GB2312"/>
      <w:b/>
      <w:kern w:val="2"/>
      <w:sz w:val="28"/>
      <w:szCs w:val="28"/>
    </w:rPr>
  </w:style>
  <w:style w:type="paragraph" w:customStyle="1" w:styleId="107">
    <w:name w:val="三级标题"/>
    <w:basedOn w:val="1"/>
    <w:link w:val="106"/>
    <w:autoRedefine/>
    <w:qFormat/>
    <w:uiPriority w:val="0"/>
    <w:pPr>
      <w:numPr>
        <w:ilvl w:val="2"/>
        <w:numId w:val="2"/>
      </w:numPr>
      <w:jc w:val="left"/>
      <w:outlineLvl w:val="2"/>
    </w:pPr>
    <w:rPr>
      <w:rFonts w:ascii="仿宋_GB2312" w:hAnsi="仿宋" w:eastAsia="仿宋_GB2312"/>
      <w:b/>
      <w:sz w:val="28"/>
      <w:szCs w:val="28"/>
    </w:rPr>
  </w:style>
  <w:style w:type="paragraph" w:customStyle="1" w:styleId="108">
    <w:name w:val="Normal Indent1"/>
    <w:basedOn w:val="1"/>
    <w:uiPriority w:val="0"/>
    <w:pPr>
      <w:widowControl/>
      <w:ind w:firstLine="420"/>
      <w:jc w:val="left"/>
    </w:pPr>
    <w:rPr>
      <w:rFonts w:ascii="Times New Roman" w:hAnsi="Times New Roman"/>
      <w:kern w:val="0"/>
      <w:szCs w:val="20"/>
    </w:rPr>
  </w:style>
  <w:style w:type="paragraph" w:customStyle="1" w:styleId="109">
    <w:name w:val="正文正"/>
    <w:basedOn w:val="1"/>
    <w:qFormat/>
    <w:uiPriority w:val="0"/>
    <w:pPr>
      <w:spacing w:line="560" w:lineRule="exact"/>
      <w:ind w:firstLine="561"/>
    </w:pPr>
    <w:rPr>
      <w:rFonts w:ascii="Times New Roman" w:hAnsi="Times New Roman" w:eastAsia="仿宋_GB2312"/>
      <w:sz w:val="28"/>
    </w:rPr>
  </w:style>
  <w:style w:type="character" w:customStyle="1" w:styleId="110">
    <w:name w:val="信息标题 字符"/>
    <w:basedOn w:val="28"/>
    <w:link w:val="22"/>
    <w:uiPriority w:val="0"/>
    <w:rPr>
      <w:rFonts w:ascii="Calibri Light" w:hAnsi="Calibri Light" w:eastAsia="宋体" w:cs="Times New Roman"/>
      <w:kern w:val="2"/>
      <w:sz w:val="24"/>
      <w:szCs w:val="24"/>
      <w:shd w:val="pct20" w:color="auto" w:fill="auto"/>
    </w:rPr>
  </w:style>
  <w:style w:type="character" w:customStyle="1" w:styleId="111">
    <w:name w:val="正文文本 字符"/>
    <w:basedOn w:val="28"/>
    <w:link w:val="14"/>
    <w:uiPriority w:val="0"/>
    <w:rPr>
      <w:rFonts w:hint="default" w:ascii="Times New Roman" w:hAnsi="Times New Roman" w:eastAsia="宋体" w:cs="Times New Roman"/>
      <w:kern w:val="2"/>
      <w:sz w:val="21"/>
      <w:szCs w:val="24"/>
    </w:rPr>
  </w:style>
  <w:style w:type="paragraph" w:customStyle="1" w:styleId="112">
    <w:name w:val="msolistparagraph"/>
    <w:basedOn w:val="1"/>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72ECC0-D941-4E03-8110-C9FC9D32347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12227</Words>
  <Characters>12419</Characters>
  <Lines>94</Lines>
  <Paragraphs>26</Paragraphs>
  <TotalTime>11</TotalTime>
  <ScaleCrop>false</ScaleCrop>
  <LinksUpToDate>false</LinksUpToDate>
  <CharactersWithSpaces>12953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2024-01-10T06:52:00Z</dcterms:created>
  <dc:creator>用户</dc:creator>
  <cp:lastModifiedBy>Administrator</cp:lastModifiedBy>
  <cp:lastPrinted>2023-05-06T03:40:00Z</cp:lastPrinted>
  <dcterms:modified xsi:type="dcterms:W3CDTF">2024-07-03T06:17:05Z</dcterms:modified>
  <dc:title>竞价文件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D92E9DADB99E45ACADF7422DE2FC03A0_13</vt:lpwstr>
  </property>
</Properties>
</file>