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olor w:val="000000"/>
          <w:szCs w:val="21"/>
        </w:rPr>
      </w:pPr>
    </w:p>
    <w:p>
      <w:pPr>
        <w:pStyle w:val="2"/>
      </w:pPr>
    </w:p>
    <w:p>
      <w:pPr>
        <w:spacing w:line="360" w:lineRule="auto"/>
        <w:jc w:val="center"/>
        <w:rPr>
          <w:rFonts w:ascii="宋体" w:hAnsi="宋体"/>
          <w:color w:val="000000"/>
          <w:szCs w:val="21"/>
        </w:rPr>
      </w:pPr>
    </w:p>
    <w:p>
      <w:pPr>
        <w:jc w:val="center"/>
        <w:rPr>
          <w:rFonts w:ascii="宋体" w:hAnsi="宋体"/>
          <w:color w:val="000000"/>
          <w:szCs w:val="21"/>
        </w:rPr>
      </w:pPr>
    </w:p>
    <w:p>
      <w:pPr>
        <w:snapToGrid w:val="0"/>
        <w:spacing w:before="156" w:beforeLines="50"/>
        <w:jc w:val="center"/>
        <w:rPr>
          <w:rFonts w:ascii="宋体" w:hAnsi="宋体"/>
          <w:b/>
          <w:color w:val="000000"/>
          <w:szCs w:val="21"/>
        </w:rPr>
      </w:pPr>
    </w:p>
    <w:p>
      <w:pPr>
        <w:snapToGrid w:val="0"/>
        <w:spacing w:before="156" w:beforeLines="50"/>
        <w:jc w:val="center"/>
        <w:rPr>
          <w:rFonts w:ascii="宋体" w:hAnsi="宋体"/>
          <w:b/>
          <w:color w:val="000000"/>
          <w:sz w:val="84"/>
          <w:szCs w:val="84"/>
        </w:rPr>
      </w:pPr>
      <w:r>
        <w:rPr>
          <w:rFonts w:hint="eastAsia" w:ascii="宋体" w:hAnsi="宋体"/>
          <w:b/>
          <w:color w:val="000000"/>
          <w:sz w:val="84"/>
          <w:szCs w:val="84"/>
        </w:rPr>
        <w:t>竞价文件</w:t>
      </w:r>
    </w:p>
    <w:p>
      <w:pPr>
        <w:spacing w:line="360" w:lineRule="auto"/>
        <w:jc w:val="center"/>
        <w:rPr>
          <w:rFonts w:ascii="宋体" w:hAnsi="宋体"/>
          <w:color w:val="000000"/>
          <w:szCs w:val="21"/>
        </w:rPr>
      </w:pPr>
    </w:p>
    <w:p>
      <w:pPr>
        <w:spacing w:line="360" w:lineRule="auto"/>
        <w:jc w:val="center"/>
        <w:rPr>
          <w:rFonts w:ascii="宋体" w:hAnsi="宋体"/>
          <w:color w:val="000000"/>
          <w:szCs w:val="21"/>
        </w:rPr>
      </w:pPr>
    </w:p>
    <w:p>
      <w:pPr>
        <w:spacing w:line="360" w:lineRule="auto"/>
        <w:jc w:val="center"/>
        <w:rPr>
          <w:rFonts w:ascii="宋体" w:hAnsi="宋体"/>
          <w:color w:val="000000"/>
          <w:szCs w:val="21"/>
        </w:rPr>
      </w:pPr>
    </w:p>
    <w:p>
      <w:pPr>
        <w:spacing w:line="360" w:lineRule="auto"/>
        <w:jc w:val="center"/>
        <w:rPr>
          <w:rFonts w:ascii="宋体" w:hAnsi="宋体"/>
          <w:color w:val="000000"/>
          <w:szCs w:val="21"/>
        </w:rPr>
      </w:pPr>
    </w:p>
    <w:p>
      <w:pPr>
        <w:spacing w:line="360" w:lineRule="auto"/>
        <w:jc w:val="left"/>
        <w:rPr>
          <w:rFonts w:ascii="宋体" w:hAnsi="宋体"/>
          <w:b/>
          <w:bCs/>
          <w:color w:val="000000"/>
          <w:sz w:val="28"/>
          <w:szCs w:val="32"/>
        </w:rPr>
      </w:pPr>
      <w:r>
        <w:rPr>
          <w:rFonts w:ascii="宋体" w:hAnsi="宋体"/>
          <w:b/>
          <w:bCs/>
          <w:color w:val="000000"/>
          <w:sz w:val="28"/>
          <w:szCs w:val="32"/>
        </w:rPr>
        <w:t>采购方式：</w:t>
      </w:r>
      <w:r>
        <w:rPr>
          <w:rFonts w:hint="eastAsia" w:ascii="宋体" w:hAnsi="宋体"/>
          <w:b/>
          <w:bCs/>
          <w:color w:val="000000"/>
          <w:sz w:val="28"/>
          <w:szCs w:val="32"/>
        </w:rPr>
        <w:t>线上</w:t>
      </w:r>
      <w:r>
        <w:rPr>
          <w:rFonts w:ascii="宋体" w:hAnsi="宋体"/>
          <w:b/>
          <w:bCs/>
          <w:color w:val="000000"/>
          <w:sz w:val="28"/>
          <w:szCs w:val="32"/>
        </w:rPr>
        <w:t>竞价</w:t>
      </w:r>
    </w:p>
    <w:p>
      <w:pPr>
        <w:spacing w:line="360" w:lineRule="auto"/>
        <w:ind w:left="1405" w:hanging="1405" w:hangingChars="500"/>
        <w:jc w:val="left"/>
        <w:rPr>
          <w:rFonts w:ascii="宋体" w:hAnsi="宋体"/>
          <w:b/>
          <w:bCs/>
          <w:color w:val="000000"/>
          <w:sz w:val="28"/>
          <w:szCs w:val="32"/>
        </w:rPr>
      </w:pPr>
      <w:r>
        <w:rPr>
          <w:rFonts w:ascii="宋体" w:hAnsi="宋体"/>
          <w:b/>
          <w:bCs/>
          <w:color w:val="000000"/>
          <w:sz w:val="28"/>
          <w:szCs w:val="32"/>
        </w:rPr>
        <w:t>项目名称：</w:t>
      </w:r>
      <w:r>
        <w:rPr>
          <w:rFonts w:hint="eastAsia" w:ascii="宋体" w:hAnsi="宋体"/>
          <w:b/>
          <w:bCs/>
          <w:color w:val="000000"/>
          <w:sz w:val="28"/>
          <w:szCs w:val="32"/>
          <w:u w:val="single"/>
        </w:rPr>
        <w:t>广东省阳春监狱2024年度办公耗材采购项目</w:t>
      </w:r>
    </w:p>
    <w:p>
      <w:pPr>
        <w:spacing w:line="360" w:lineRule="auto"/>
        <w:jc w:val="left"/>
        <w:rPr>
          <w:rFonts w:ascii="宋体" w:hAnsi="宋体"/>
          <w:b/>
          <w:bCs/>
          <w:color w:val="000000"/>
          <w:szCs w:val="21"/>
          <w:u w:val="single"/>
        </w:rPr>
      </w:pPr>
    </w:p>
    <w:p>
      <w:pPr>
        <w:autoSpaceDE w:val="0"/>
        <w:autoSpaceDN w:val="0"/>
        <w:adjustRightInd w:val="0"/>
        <w:snapToGrid w:val="0"/>
        <w:spacing w:before="156" w:beforeLines="50" w:after="156" w:afterLines="50" w:line="360" w:lineRule="auto"/>
        <w:jc w:val="center"/>
        <w:rPr>
          <w:rFonts w:ascii="宋体" w:hAnsi="宋体" w:cs="华文中宋"/>
          <w:color w:val="000000"/>
          <w:szCs w:val="21"/>
        </w:rPr>
      </w:pPr>
    </w:p>
    <w:p>
      <w:pPr>
        <w:autoSpaceDE w:val="0"/>
        <w:autoSpaceDN w:val="0"/>
        <w:adjustRightInd w:val="0"/>
        <w:snapToGrid w:val="0"/>
        <w:spacing w:before="156" w:beforeLines="50" w:after="156" w:afterLines="50" w:line="360" w:lineRule="auto"/>
        <w:jc w:val="center"/>
        <w:rPr>
          <w:rFonts w:ascii="宋体" w:hAnsi="宋体" w:cs="华文中宋"/>
          <w:color w:val="000000"/>
          <w:szCs w:val="21"/>
        </w:rPr>
      </w:pPr>
    </w:p>
    <w:p>
      <w:pPr>
        <w:autoSpaceDE w:val="0"/>
        <w:autoSpaceDN w:val="0"/>
        <w:adjustRightInd w:val="0"/>
        <w:snapToGrid w:val="0"/>
        <w:spacing w:before="156" w:beforeLines="50" w:after="156" w:afterLines="50" w:line="360" w:lineRule="auto"/>
        <w:jc w:val="center"/>
        <w:rPr>
          <w:rFonts w:ascii="宋体" w:hAnsi="宋体" w:cs="华文中宋"/>
          <w:color w:val="000000"/>
          <w:szCs w:val="21"/>
        </w:rPr>
      </w:pPr>
    </w:p>
    <w:p>
      <w:pPr>
        <w:autoSpaceDE w:val="0"/>
        <w:autoSpaceDN w:val="0"/>
        <w:adjustRightInd w:val="0"/>
        <w:snapToGrid w:val="0"/>
        <w:spacing w:line="360" w:lineRule="auto"/>
        <w:ind w:left="420" w:firstLine="420"/>
        <w:jc w:val="center"/>
        <w:rPr>
          <w:rFonts w:ascii="宋体" w:hAnsi="宋体"/>
          <w:b/>
          <w:bCs/>
          <w:sz w:val="28"/>
          <w:szCs w:val="32"/>
        </w:rPr>
      </w:pPr>
      <w:r>
        <w:rPr>
          <w:rFonts w:hint="eastAsia" w:ascii="宋体" w:hAnsi="宋体"/>
          <w:b/>
          <w:bCs/>
          <w:sz w:val="28"/>
          <w:szCs w:val="32"/>
        </w:rPr>
        <w:t>广东省阳春监狱</w:t>
      </w:r>
    </w:p>
    <w:p>
      <w:pPr>
        <w:autoSpaceDE w:val="0"/>
        <w:autoSpaceDN w:val="0"/>
        <w:adjustRightInd w:val="0"/>
        <w:snapToGrid w:val="0"/>
        <w:spacing w:line="360" w:lineRule="auto"/>
        <w:ind w:left="420" w:firstLine="420"/>
        <w:jc w:val="center"/>
        <w:rPr>
          <w:rFonts w:ascii="宋体" w:hAnsi="宋体"/>
          <w:b/>
          <w:bCs/>
          <w:sz w:val="28"/>
          <w:szCs w:val="32"/>
        </w:rPr>
      </w:pPr>
      <w:r>
        <w:rPr>
          <w:rFonts w:ascii="宋体" w:hAnsi="宋体"/>
          <w:b/>
          <w:bCs/>
          <w:sz w:val="28"/>
          <w:szCs w:val="32"/>
        </w:rPr>
        <w:t>云采链（广州）信息科技有限公司</w:t>
      </w:r>
    </w:p>
    <w:p>
      <w:pPr>
        <w:autoSpaceDE w:val="0"/>
        <w:autoSpaceDN w:val="0"/>
        <w:adjustRightInd w:val="0"/>
        <w:snapToGrid w:val="0"/>
        <w:spacing w:line="360" w:lineRule="auto"/>
        <w:ind w:left="420" w:firstLine="420"/>
        <w:jc w:val="center"/>
        <w:rPr>
          <w:rFonts w:ascii="宋体" w:hAnsi="宋体"/>
          <w:b/>
          <w:bCs/>
          <w:sz w:val="28"/>
          <w:szCs w:val="32"/>
        </w:rPr>
      </w:pPr>
      <w:r>
        <w:rPr>
          <w:rFonts w:hint="eastAsia" w:ascii="宋体" w:hAnsi="宋体"/>
          <w:b/>
          <w:bCs/>
          <w:sz w:val="28"/>
          <w:szCs w:val="32"/>
        </w:rPr>
        <w:t>二零二四年一</w:t>
      </w:r>
      <w:r>
        <w:rPr>
          <w:rFonts w:ascii="宋体" w:hAnsi="宋体"/>
          <w:b/>
          <w:bCs/>
          <w:sz w:val="28"/>
          <w:szCs w:val="32"/>
        </w:rPr>
        <w:t>月</w:t>
      </w:r>
      <w:r>
        <w:rPr>
          <w:rFonts w:ascii="宋体" w:hAnsi="宋体"/>
          <w:b/>
          <w:sz w:val="28"/>
        </w:rPr>
        <w:t xml:space="preserve"> </w:t>
      </w:r>
    </w:p>
    <w:p>
      <w:pPr>
        <w:pStyle w:val="2"/>
        <w:rPr>
          <w:rFonts w:ascii="宋体" w:hAnsi="宋体"/>
        </w:rPr>
      </w:pPr>
    </w:p>
    <w:p>
      <w:pPr>
        <w:rPr>
          <w:rFonts w:ascii="宋体" w:hAnsi="宋体"/>
          <w:color w:val="000000"/>
        </w:rPr>
      </w:pPr>
    </w:p>
    <w:p>
      <w:pPr>
        <w:pStyle w:val="17"/>
        <w:autoSpaceDE w:val="0"/>
        <w:autoSpaceDN w:val="0"/>
        <w:adjustRightInd w:val="0"/>
        <w:spacing w:line="360" w:lineRule="auto"/>
        <w:rPr>
          <w:rFonts w:ascii="宋体" w:hAnsi="宋体"/>
          <w:color w:val="000000"/>
        </w:rPr>
      </w:pPr>
      <w:r>
        <w:rPr>
          <w:rFonts w:ascii="宋体" w:hAnsi="宋体"/>
          <w:color w:val="000000"/>
          <w:sz w:val="21"/>
          <w:szCs w:val="21"/>
        </w:rPr>
        <w:br w:type="page"/>
      </w:r>
      <w:r>
        <w:rPr>
          <w:rFonts w:hint="eastAsia" w:ascii="宋体" w:hAnsi="宋体"/>
          <w:color w:val="000000"/>
          <w:lang w:val="zh-CN"/>
        </w:rPr>
        <w:t>第一章竞价须知</w:t>
      </w:r>
    </w:p>
    <w:p>
      <w:pPr>
        <w:pStyle w:val="7"/>
        <w:rPr>
          <w:rFonts w:ascii="宋体" w:hAnsi="宋体"/>
        </w:rPr>
      </w:pPr>
      <w:r>
        <w:rPr>
          <w:rFonts w:hint="eastAsia" w:ascii="宋体" w:hAnsi="宋体"/>
          <w:b/>
          <w:color w:val="000000"/>
          <w:szCs w:val="21"/>
        </w:rPr>
        <w:t>项目名称：</w:t>
      </w:r>
      <w:r>
        <w:rPr>
          <w:rFonts w:hint="eastAsia" w:ascii="宋体" w:hAnsi="宋体"/>
          <w:bCs/>
          <w:color w:val="000000"/>
          <w:szCs w:val="21"/>
        </w:rPr>
        <w:t>广东省阳春监狱2024年度办公耗材采购项目</w:t>
      </w:r>
    </w:p>
    <w:p>
      <w:pPr>
        <w:pStyle w:val="25"/>
        <w:numPr>
          <w:ilvl w:val="0"/>
          <w:numId w:val="1"/>
        </w:numPr>
        <w:spacing w:line="360" w:lineRule="auto"/>
        <w:ind w:firstLineChars="0"/>
        <w:rPr>
          <w:rFonts w:ascii="宋体" w:hAnsi="宋体"/>
          <w:color w:val="000000"/>
          <w:szCs w:val="21"/>
          <w:shd w:val="clear" w:color="auto" w:fill="FFFFFF"/>
        </w:rPr>
      </w:pPr>
      <w:r>
        <w:rPr>
          <w:rFonts w:hint="eastAsia" w:ascii="宋体" w:hAnsi="宋体"/>
          <w:color w:val="000000"/>
          <w:szCs w:val="21"/>
        </w:rPr>
        <w:t>本项目通过云采链线上采购一体化平台进行竞价，参与竞价的供应商必须登录平台进行注册，注册成功后方可参与项目竞价。</w:t>
      </w:r>
    </w:p>
    <w:p>
      <w:pPr>
        <w:pStyle w:val="25"/>
        <w:numPr>
          <w:ilvl w:val="0"/>
          <w:numId w:val="1"/>
        </w:numPr>
        <w:spacing w:line="360" w:lineRule="auto"/>
        <w:ind w:firstLineChars="0"/>
        <w:rPr>
          <w:rFonts w:ascii="宋体" w:hAnsi="宋体"/>
          <w:color w:val="000000"/>
        </w:rPr>
      </w:pPr>
      <w:r>
        <w:rPr>
          <w:rFonts w:hint="eastAsia" w:ascii="宋体" w:hAnsi="宋体"/>
          <w:color w:val="000000"/>
        </w:rPr>
        <w:t>语言要求</w:t>
      </w:r>
    </w:p>
    <w:p>
      <w:pPr>
        <w:pStyle w:val="29"/>
        <w:spacing w:line="360" w:lineRule="auto"/>
        <w:ind w:left="420" w:leftChars="200" w:firstLine="0" w:firstLineChars="0"/>
        <w:rPr>
          <w:rFonts w:ascii="宋体" w:hAnsi="宋体"/>
          <w:color w:val="000000"/>
        </w:rPr>
      </w:pPr>
      <w:r>
        <w:rPr>
          <w:rFonts w:hint="eastAsia" w:ascii="宋体" w:hAnsi="宋体"/>
          <w:color w:val="000000"/>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pPr>
        <w:pStyle w:val="70"/>
        <w:numPr>
          <w:ilvl w:val="0"/>
          <w:numId w:val="1"/>
        </w:numPr>
        <w:spacing w:line="360" w:lineRule="auto"/>
        <w:ind w:firstLineChars="0"/>
        <w:rPr>
          <w:rFonts w:ascii="宋体" w:hAnsi="宋体"/>
        </w:rPr>
      </w:pPr>
      <w:r>
        <w:rPr>
          <w:rFonts w:hint="eastAsia" w:ascii="宋体" w:hAnsi="宋体"/>
        </w:rPr>
        <w:t>在云采链平台参与项目竞价后放弃成交资格超过三次（含三次）的供应商连同该供应商同一法人名下所有公司将被列入平台黑名单，永久不得参与平台的项目竞价。</w:t>
      </w:r>
    </w:p>
    <w:p>
      <w:pPr>
        <w:pStyle w:val="70"/>
        <w:numPr>
          <w:ilvl w:val="0"/>
          <w:numId w:val="1"/>
        </w:numPr>
        <w:spacing w:line="360" w:lineRule="auto"/>
        <w:ind w:firstLineChars="0"/>
        <w:rPr>
          <w:rFonts w:ascii="宋体" w:hAnsi="宋体"/>
        </w:rPr>
      </w:pPr>
      <w:r>
        <w:rPr>
          <w:rFonts w:hint="eastAsia" w:ascii="宋体" w:hAnsi="宋体" w:cs="Segoe UI"/>
          <w:b/>
          <w:bCs/>
          <w:szCs w:val="21"/>
          <w:shd w:val="clear" w:color="auto" w:fill="FFFFFF"/>
        </w:rPr>
        <w:t>参与采购人项目竞价过程中有围标串标等违规情况或因自身原因放弃成交资格的供应商不得再参与采购人重新启动的项目竞价，有围标串标等违规情况或因自身原因放弃成交资格的供应商将被列入采购人黑名单，一年内不得参与采购人的项目竞价。</w:t>
      </w:r>
    </w:p>
    <w:p>
      <w:pPr>
        <w:pStyle w:val="25"/>
        <w:numPr>
          <w:ilvl w:val="0"/>
          <w:numId w:val="1"/>
        </w:numPr>
        <w:spacing w:line="360" w:lineRule="auto"/>
        <w:ind w:firstLineChars="0"/>
        <w:rPr>
          <w:rFonts w:ascii="宋体" w:hAnsi="宋体"/>
          <w:color w:val="000000"/>
          <w:szCs w:val="21"/>
        </w:rPr>
      </w:pPr>
      <w:r>
        <w:rPr>
          <w:rFonts w:hint="eastAsia" w:ascii="宋体" w:hAnsi="宋体"/>
          <w:color w:val="000000"/>
          <w:szCs w:val="21"/>
        </w:rPr>
        <w:t>竞价须知</w:t>
      </w:r>
    </w:p>
    <w:p>
      <w:pPr>
        <w:pStyle w:val="25"/>
        <w:numPr>
          <w:ilvl w:val="0"/>
          <w:numId w:val="2"/>
        </w:numPr>
        <w:spacing w:line="360" w:lineRule="auto"/>
        <w:ind w:firstLineChars="0"/>
        <w:rPr>
          <w:rFonts w:ascii="宋体" w:hAnsi="宋体"/>
          <w:b/>
          <w:color w:val="000000"/>
          <w:szCs w:val="21"/>
        </w:rPr>
      </w:pPr>
      <w:r>
        <w:rPr>
          <w:rStyle w:val="19"/>
          <w:rFonts w:hint="eastAsia" w:ascii="宋体" w:hAnsi="宋体"/>
          <w:color w:val="000000"/>
          <w:szCs w:val="21"/>
        </w:rPr>
        <w:t>竞价说明</w:t>
      </w:r>
    </w:p>
    <w:p>
      <w:pPr>
        <w:pStyle w:val="25"/>
        <w:numPr>
          <w:ilvl w:val="0"/>
          <w:numId w:val="3"/>
        </w:numPr>
        <w:spacing w:line="360" w:lineRule="auto"/>
        <w:ind w:firstLineChars="0"/>
        <w:rPr>
          <w:rFonts w:ascii="宋体" w:hAnsi="宋体"/>
          <w:color w:val="000000"/>
          <w:szCs w:val="21"/>
        </w:rPr>
      </w:pPr>
      <w:r>
        <w:rPr>
          <w:rFonts w:hint="eastAsia" w:ascii="宋体" w:hAnsi="宋体"/>
          <w:color w:val="000000"/>
          <w:szCs w:val="21"/>
        </w:rPr>
        <w:t>参与竞价的供应商应承担所有与准备和参加竞价有关的费用</w:t>
      </w:r>
      <w:r>
        <w:rPr>
          <w:rFonts w:hint="eastAsia" w:ascii="宋体" w:hAnsi="宋体" w:cs="宋体"/>
          <w:color w:val="000000"/>
          <w:szCs w:val="21"/>
        </w:rPr>
        <w:t>，不</w:t>
      </w:r>
      <w:r>
        <w:rPr>
          <w:rFonts w:hint="eastAsia" w:ascii="宋体" w:hAnsi="宋体" w:cs="宋体"/>
          <w:color w:val="000000"/>
          <w:szCs w:val="21"/>
          <w:lang w:eastAsia="zh-TW"/>
        </w:rPr>
        <w:t>论</w:t>
      </w:r>
      <w:r>
        <w:rPr>
          <w:rFonts w:hint="eastAsia" w:ascii="宋体" w:hAnsi="宋体" w:cs="宋体"/>
          <w:color w:val="000000"/>
          <w:szCs w:val="21"/>
        </w:rPr>
        <w:t>竞价</w:t>
      </w:r>
      <w:r>
        <w:rPr>
          <w:rFonts w:hint="eastAsia" w:ascii="宋体" w:hAnsi="宋体" w:cs="宋体"/>
          <w:color w:val="000000"/>
          <w:szCs w:val="21"/>
          <w:lang w:eastAsia="zh-TW"/>
        </w:rPr>
        <w:t>的结果如何</w:t>
      </w:r>
      <w:r>
        <w:rPr>
          <w:rFonts w:hint="eastAsia" w:ascii="宋体" w:hAnsi="宋体" w:cs="宋体"/>
          <w:color w:val="000000"/>
          <w:szCs w:val="21"/>
        </w:rPr>
        <w:t>，采购</w:t>
      </w:r>
      <w:r>
        <w:rPr>
          <w:rFonts w:hint="eastAsia" w:ascii="宋体" w:hAnsi="宋体" w:cs="宋体"/>
          <w:color w:val="000000"/>
          <w:szCs w:val="21"/>
          <w:lang w:eastAsia="zh-TW"/>
        </w:rPr>
        <w:t>人</w:t>
      </w:r>
      <w:r>
        <w:rPr>
          <w:rFonts w:hint="eastAsia" w:ascii="宋体" w:hAnsi="宋体" w:cs="宋体"/>
          <w:color w:val="000000"/>
          <w:szCs w:val="21"/>
        </w:rPr>
        <w:t>和</w:t>
      </w:r>
      <w:r>
        <w:rPr>
          <w:rFonts w:hint="eastAsia" w:ascii="宋体" w:hAnsi="宋体" w:cs="宋体"/>
          <w:color w:val="000000"/>
          <w:szCs w:val="21"/>
          <w:lang w:eastAsia="zh-TW"/>
        </w:rPr>
        <w:t>代理机构均无义务和责任承担这些费用</w:t>
      </w:r>
      <w:r>
        <w:rPr>
          <w:rFonts w:hint="eastAsia" w:ascii="宋体" w:hAnsi="宋体" w:cs="宋体"/>
          <w:color w:val="000000"/>
          <w:szCs w:val="21"/>
        </w:rPr>
        <w:t>。</w:t>
      </w:r>
    </w:p>
    <w:p>
      <w:pPr>
        <w:pStyle w:val="25"/>
        <w:numPr>
          <w:ilvl w:val="0"/>
          <w:numId w:val="3"/>
        </w:numPr>
        <w:spacing w:line="360" w:lineRule="auto"/>
        <w:ind w:firstLineChars="0"/>
        <w:rPr>
          <w:rFonts w:ascii="宋体" w:hAnsi="宋体"/>
          <w:color w:val="000000"/>
          <w:szCs w:val="21"/>
        </w:rPr>
      </w:pPr>
      <w:r>
        <w:rPr>
          <w:rFonts w:hint="eastAsia" w:ascii="宋体" w:hAnsi="宋体"/>
          <w:color w:val="000000"/>
          <w:szCs w:val="21"/>
        </w:rPr>
        <w:t>参与竞价的</w:t>
      </w:r>
      <w:r>
        <w:rPr>
          <w:rFonts w:hint="eastAsia" w:ascii="宋体" w:hAnsi="宋体"/>
          <w:bCs/>
          <w:color w:val="000000"/>
          <w:szCs w:val="21"/>
        </w:rPr>
        <w:t>供应商必须按竞价附件的格式填写，不得随意增加或删除表格内容。除单价、金额或项目要求填写的内容外，不得擅自改动竞价附件内容，否则将有可能影响成交结果，不推荐为成交候选人。</w:t>
      </w:r>
    </w:p>
    <w:p>
      <w:pPr>
        <w:pStyle w:val="25"/>
        <w:numPr>
          <w:ilvl w:val="0"/>
          <w:numId w:val="3"/>
        </w:numPr>
        <w:spacing w:line="360" w:lineRule="auto"/>
        <w:ind w:firstLineChars="0"/>
        <w:rPr>
          <w:rFonts w:ascii="宋体" w:hAnsi="宋体"/>
          <w:color w:val="000000"/>
          <w:szCs w:val="21"/>
        </w:rPr>
      </w:pPr>
      <w:r>
        <w:rPr>
          <w:rFonts w:hint="eastAsia" w:ascii="宋体" w:hAnsi="宋体"/>
          <w:color w:val="000000"/>
          <w:szCs w:val="21"/>
        </w:rPr>
        <w:t>参与竞价的</w:t>
      </w:r>
      <w:r>
        <w:rPr>
          <w:rFonts w:hint="eastAsia" w:ascii="宋体" w:hAnsi="宋体"/>
          <w:color w:val="000000"/>
          <w:szCs w:val="21"/>
          <w:lang w:val="zh-CN"/>
        </w:rPr>
        <w:t>供应商需对用户需求书的所有条款进行整体响应，用户需求书条款若有一条负偏离或不响应，</w:t>
      </w:r>
      <w:r>
        <w:rPr>
          <w:rFonts w:hint="eastAsia" w:ascii="宋体" w:hAnsi="宋体"/>
          <w:bCs/>
          <w:color w:val="000000"/>
          <w:szCs w:val="21"/>
        </w:rPr>
        <w:t>不推荐为成交候选人</w:t>
      </w:r>
      <w:r>
        <w:rPr>
          <w:rFonts w:hint="eastAsia" w:ascii="宋体" w:hAnsi="宋体"/>
          <w:color w:val="000000"/>
          <w:szCs w:val="21"/>
          <w:lang w:val="zh-CN"/>
        </w:rPr>
        <w:t>。</w:t>
      </w:r>
    </w:p>
    <w:p>
      <w:pPr>
        <w:pStyle w:val="25"/>
        <w:numPr>
          <w:ilvl w:val="0"/>
          <w:numId w:val="3"/>
        </w:numPr>
        <w:spacing w:line="360" w:lineRule="auto"/>
        <w:ind w:firstLineChars="0"/>
        <w:rPr>
          <w:rFonts w:ascii="宋体" w:hAnsi="宋体"/>
          <w:color w:val="000000"/>
          <w:szCs w:val="21"/>
        </w:rPr>
      </w:pPr>
      <w:r>
        <w:rPr>
          <w:rFonts w:hint="eastAsia" w:ascii="宋体" w:hAnsi="宋体"/>
          <w:color w:val="000000"/>
          <w:szCs w:val="21"/>
        </w:rPr>
        <w:t>若成交供应商自身原因无法完成本项目，则采购人有权利保留追究责任。</w:t>
      </w:r>
    </w:p>
    <w:p>
      <w:pPr>
        <w:pStyle w:val="25"/>
        <w:numPr>
          <w:ilvl w:val="0"/>
          <w:numId w:val="3"/>
        </w:numPr>
        <w:spacing w:line="360" w:lineRule="auto"/>
        <w:ind w:firstLineChars="0"/>
        <w:rPr>
          <w:rFonts w:ascii="宋体" w:hAnsi="宋体"/>
          <w:color w:val="000000"/>
          <w:szCs w:val="21"/>
        </w:rPr>
      </w:pPr>
      <w:r>
        <w:rPr>
          <w:rFonts w:hint="eastAsia" w:ascii="宋体" w:hAnsi="宋体"/>
          <w:color w:val="000000"/>
          <w:szCs w:val="21"/>
        </w:rPr>
        <w:t>成交供应商因自身原因被取消成交资格，采购人可重新启动采购或按竞价公告规定顺延推选符合要求的供应商作为成交人。</w:t>
      </w:r>
    </w:p>
    <w:p>
      <w:pPr>
        <w:pStyle w:val="25"/>
        <w:numPr>
          <w:ilvl w:val="0"/>
          <w:numId w:val="3"/>
        </w:numPr>
        <w:spacing w:line="360" w:lineRule="auto"/>
        <w:ind w:firstLineChars="0"/>
        <w:rPr>
          <w:rFonts w:ascii="宋体" w:hAnsi="宋体"/>
          <w:color w:val="000000"/>
          <w:szCs w:val="21"/>
        </w:rPr>
      </w:pPr>
      <w:r>
        <w:rPr>
          <w:rFonts w:hint="eastAsia" w:ascii="宋体" w:hAnsi="宋体"/>
          <w:color w:val="000000"/>
          <w:szCs w:val="21"/>
        </w:rPr>
        <w:t>若本项目竞价采购失败，采购人将重新采购，届时采购人有权根据项目具体情况，决定重新采购项目的采购方式。</w:t>
      </w:r>
    </w:p>
    <w:p>
      <w:pPr>
        <w:pStyle w:val="25"/>
        <w:numPr>
          <w:ilvl w:val="0"/>
          <w:numId w:val="3"/>
        </w:numPr>
        <w:spacing w:line="360" w:lineRule="auto"/>
        <w:ind w:firstLineChars="0"/>
        <w:rPr>
          <w:rFonts w:ascii="宋体" w:hAnsi="宋体"/>
          <w:color w:val="000000"/>
          <w:szCs w:val="21"/>
        </w:rPr>
      </w:pPr>
      <w:r>
        <w:rPr>
          <w:rFonts w:hint="eastAsia" w:ascii="宋体" w:hAnsi="宋体"/>
          <w:color w:val="000000"/>
          <w:szCs w:val="21"/>
        </w:rPr>
        <w:t>成交供应商若无正当理由恶意放弃成交资格，采购人有权将拒绝其参加本项目重新组织的竞价采购活动。</w:t>
      </w:r>
    </w:p>
    <w:p>
      <w:pPr>
        <w:pStyle w:val="40"/>
        <w:numPr>
          <w:ilvl w:val="0"/>
          <w:numId w:val="3"/>
        </w:numPr>
        <w:spacing w:line="360" w:lineRule="auto"/>
        <w:ind w:firstLineChars="0"/>
        <w:rPr>
          <w:rFonts w:ascii="宋体" w:hAnsi="宋体"/>
          <w:color w:val="000000"/>
        </w:rPr>
      </w:pPr>
      <w:r>
        <w:rPr>
          <w:rFonts w:hint="eastAsia" w:ascii="宋体" w:hAnsi="宋体"/>
          <w:color w:val="000000"/>
        </w:rPr>
        <w:t>如采购人或代理机构在审核或复核</w:t>
      </w:r>
      <w:r>
        <w:rPr>
          <w:rFonts w:hint="eastAsia" w:ascii="宋体" w:hAnsi="宋体"/>
          <w:color w:val="000000"/>
          <w:szCs w:val="21"/>
        </w:rPr>
        <w:t>参与竞价的</w:t>
      </w:r>
      <w:r>
        <w:rPr>
          <w:rFonts w:hint="eastAsia" w:ascii="宋体" w:hAnsi="宋体"/>
          <w:color w:val="000000"/>
        </w:rPr>
        <w:t>供应商所提交的竞价资料时，供应商须无条件配合；期间若发现存在弄虚作假或相关的失信记录或违反国家法律法规等相关的不良情形，采购人可取消其成交资格并保留追究责任的权力。</w:t>
      </w:r>
    </w:p>
    <w:p>
      <w:pPr>
        <w:pStyle w:val="25"/>
        <w:numPr>
          <w:ilvl w:val="0"/>
          <w:numId w:val="3"/>
        </w:numPr>
        <w:spacing w:line="360" w:lineRule="auto"/>
        <w:ind w:firstLineChars="0"/>
        <w:rPr>
          <w:rFonts w:ascii="宋体" w:hAnsi="宋体"/>
          <w:color w:val="000000"/>
          <w:szCs w:val="21"/>
        </w:rPr>
      </w:pPr>
      <w:r>
        <w:rPr>
          <w:rFonts w:hint="eastAsia" w:ascii="宋体" w:hAnsi="宋体" w:cs="宋体"/>
          <w:color w:val="000000"/>
          <w:szCs w:val="21"/>
        </w:rPr>
        <w:t>参与竞价的</w:t>
      </w:r>
      <w:r>
        <w:rPr>
          <w:rFonts w:hint="eastAsia" w:ascii="宋体" w:hAnsi="宋体" w:cs="宋体"/>
          <w:color w:val="000000"/>
          <w:szCs w:val="21"/>
          <w:lang w:eastAsia="zh-TW"/>
        </w:rPr>
        <w:t>供应商向我司咨询的有关项目事项，一切以</w:t>
      </w:r>
      <w:r>
        <w:rPr>
          <w:rFonts w:hint="eastAsia" w:ascii="宋体" w:hAnsi="宋体" w:cs="宋体"/>
          <w:color w:val="000000"/>
          <w:szCs w:val="21"/>
        </w:rPr>
        <w:t>竞价文件</w:t>
      </w:r>
      <w:r>
        <w:rPr>
          <w:rFonts w:hint="eastAsia" w:ascii="宋体" w:hAnsi="宋体" w:cs="宋体"/>
          <w:color w:val="000000"/>
          <w:szCs w:val="21"/>
          <w:lang w:eastAsia="zh-TW"/>
        </w:rPr>
        <w:t>规定</w:t>
      </w:r>
      <w:r>
        <w:rPr>
          <w:rFonts w:hint="eastAsia" w:ascii="宋体" w:hAnsi="宋体" w:cs="宋体"/>
          <w:color w:val="000000"/>
          <w:szCs w:val="21"/>
        </w:rPr>
        <w:t>和竞价公告规定以及</w:t>
      </w:r>
      <w:r>
        <w:rPr>
          <w:rFonts w:hint="eastAsia" w:ascii="宋体" w:hAnsi="宋体" w:cs="宋体"/>
          <w:color w:val="000000"/>
          <w:szCs w:val="21"/>
          <w:lang w:eastAsia="zh-TW"/>
        </w:rPr>
        <w:t>本公司</w:t>
      </w:r>
      <w:r>
        <w:rPr>
          <w:rFonts w:hint="eastAsia" w:ascii="宋体" w:hAnsi="宋体" w:cs="宋体"/>
          <w:color w:val="000000"/>
          <w:szCs w:val="21"/>
        </w:rPr>
        <w:t>的</w:t>
      </w:r>
      <w:r>
        <w:rPr>
          <w:rFonts w:hint="eastAsia" w:ascii="宋体" w:hAnsi="宋体" w:cs="宋体"/>
          <w:color w:val="000000"/>
          <w:szCs w:val="21"/>
          <w:lang w:eastAsia="zh-TW"/>
        </w:rPr>
        <w:t>书面答复为准，其他一切形式均为个人意见，不代表本公司的意见</w:t>
      </w:r>
      <w:r>
        <w:rPr>
          <w:rFonts w:hint="eastAsia" w:ascii="宋体" w:hAnsi="宋体" w:cs="宋体"/>
          <w:color w:val="000000"/>
          <w:szCs w:val="21"/>
        </w:rPr>
        <w:t>；</w:t>
      </w:r>
    </w:p>
    <w:p>
      <w:pPr>
        <w:pStyle w:val="25"/>
        <w:numPr>
          <w:ilvl w:val="0"/>
          <w:numId w:val="3"/>
        </w:numPr>
        <w:spacing w:line="360" w:lineRule="auto"/>
        <w:ind w:firstLineChars="0"/>
        <w:rPr>
          <w:rFonts w:ascii="宋体" w:hAnsi="宋体"/>
          <w:color w:val="000000"/>
          <w:szCs w:val="21"/>
        </w:rPr>
      </w:pPr>
      <w:r>
        <w:rPr>
          <w:rFonts w:hint="eastAsia" w:ascii="宋体" w:hAnsi="宋体"/>
          <w:color w:val="000000"/>
          <w:szCs w:val="21"/>
        </w:rPr>
        <w:t>参与竞价的供应商应认真阅读</w:t>
      </w:r>
      <w:r>
        <w:rPr>
          <w:rFonts w:hint="eastAsia" w:ascii="宋体" w:hAnsi="宋体" w:cs="宋体"/>
          <w:color w:val="000000"/>
          <w:szCs w:val="21"/>
          <w:lang w:eastAsia="zh-TW"/>
        </w:rPr>
        <w:t>、并充分理解</w:t>
      </w:r>
      <w:r>
        <w:rPr>
          <w:rFonts w:hint="eastAsia" w:ascii="宋体" w:hAnsi="宋体" w:cs="宋体"/>
          <w:color w:val="000000"/>
          <w:szCs w:val="21"/>
        </w:rPr>
        <w:t>竞价</w:t>
      </w:r>
      <w:r>
        <w:rPr>
          <w:rFonts w:hint="eastAsia" w:ascii="宋体" w:hAnsi="宋体" w:cs="宋体"/>
          <w:color w:val="000000"/>
          <w:szCs w:val="21"/>
          <w:lang w:eastAsia="zh-TW"/>
        </w:rPr>
        <w:t>文件的全部内容（包括所有的补充、修改内容重要事项、格式、条款</w:t>
      </w:r>
      <w:r>
        <w:rPr>
          <w:rFonts w:hint="eastAsia" w:ascii="宋体" w:hAnsi="宋体" w:cs="宋体"/>
          <w:color w:val="000000"/>
          <w:szCs w:val="21"/>
        </w:rPr>
        <w:t>、服务要求</w:t>
      </w:r>
      <w:r>
        <w:rPr>
          <w:rFonts w:hint="eastAsia" w:ascii="宋体" w:hAnsi="宋体" w:cs="宋体"/>
          <w:color w:val="000000"/>
          <w:szCs w:val="21"/>
          <w:lang w:eastAsia="zh-TW"/>
        </w:rPr>
        <w:t>和技术规范、参数及要求等）。</w:t>
      </w:r>
      <w:r>
        <w:rPr>
          <w:rFonts w:hint="eastAsia" w:ascii="宋体" w:hAnsi="宋体" w:cs="宋体"/>
          <w:color w:val="000000"/>
          <w:szCs w:val="21"/>
        </w:rPr>
        <w:t>供应商</w:t>
      </w:r>
      <w:r>
        <w:rPr>
          <w:rFonts w:hint="eastAsia" w:ascii="宋体" w:hAnsi="宋体" w:cs="宋体"/>
          <w:color w:val="000000"/>
          <w:szCs w:val="21"/>
          <w:lang w:eastAsia="zh-TW"/>
        </w:rPr>
        <w:t>没有按照</w:t>
      </w:r>
      <w:r>
        <w:rPr>
          <w:rFonts w:hint="eastAsia" w:ascii="宋体" w:hAnsi="宋体" w:cs="宋体"/>
          <w:color w:val="000000"/>
          <w:szCs w:val="21"/>
        </w:rPr>
        <w:t>竞价</w:t>
      </w:r>
      <w:r>
        <w:rPr>
          <w:rFonts w:hint="eastAsia" w:ascii="宋体" w:hAnsi="宋体" w:cs="宋体"/>
          <w:color w:val="000000"/>
          <w:szCs w:val="21"/>
          <w:lang w:eastAsia="zh-TW"/>
        </w:rPr>
        <w:t>文件要求提交全部资料，或者</w:t>
      </w:r>
      <w:r>
        <w:rPr>
          <w:rFonts w:hint="eastAsia" w:ascii="宋体" w:hAnsi="宋体" w:cs="宋体"/>
          <w:color w:val="000000"/>
          <w:szCs w:val="21"/>
        </w:rPr>
        <w:t>参与竞价所上传的</w:t>
      </w:r>
      <w:r>
        <w:rPr>
          <w:rFonts w:hint="eastAsia" w:ascii="宋体" w:hAnsi="宋体" w:cs="宋体"/>
          <w:color w:val="000000"/>
          <w:szCs w:val="21"/>
          <w:lang w:eastAsia="zh-TW"/>
        </w:rPr>
        <w:t>文件没有对</w:t>
      </w:r>
      <w:r>
        <w:rPr>
          <w:rFonts w:hint="eastAsia" w:ascii="宋体" w:hAnsi="宋体" w:cs="宋体"/>
          <w:color w:val="000000"/>
          <w:szCs w:val="21"/>
        </w:rPr>
        <w:t>竞价</w:t>
      </w:r>
      <w:r>
        <w:rPr>
          <w:rFonts w:hint="eastAsia" w:ascii="宋体" w:hAnsi="宋体" w:cs="宋体"/>
          <w:color w:val="000000"/>
          <w:szCs w:val="21"/>
          <w:lang w:eastAsia="zh-TW"/>
        </w:rPr>
        <w:t>文件在各方面都作出实质性响应是</w:t>
      </w:r>
      <w:r>
        <w:rPr>
          <w:rFonts w:hint="eastAsia" w:ascii="宋体" w:hAnsi="宋体" w:cs="宋体"/>
          <w:color w:val="000000"/>
          <w:szCs w:val="21"/>
        </w:rPr>
        <w:t>供应商</w:t>
      </w:r>
      <w:r>
        <w:rPr>
          <w:rFonts w:hint="eastAsia" w:ascii="宋体" w:hAnsi="宋体" w:cs="宋体"/>
          <w:color w:val="000000"/>
          <w:szCs w:val="21"/>
          <w:lang w:eastAsia="zh-TW"/>
        </w:rPr>
        <w:t>的风险，有可能导致其</w:t>
      </w:r>
      <w:r>
        <w:rPr>
          <w:rFonts w:hint="eastAsia" w:ascii="宋体" w:hAnsi="宋体" w:cs="宋体"/>
          <w:color w:val="000000"/>
          <w:szCs w:val="21"/>
        </w:rPr>
        <w:t>竞价</w:t>
      </w:r>
      <w:r>
        <w:rPr>
          <w:rFonts w:hint="eastAsia" w:ascii="宋体" w:hAnsi="宋体" w:cs="宋体"/>
          <w:color w:val="000000"/>
          <w:szCs w:val="21"/>
          <w:lang w:eastAsia="zh-TW"/>
        </w:rPr>
        <w:t>被拒绝，</w:t>
      </w:r>
      <w:r>
        <w:rPr>
          <w:rFonts w:hint="eastAsia" w:ascii="宋体" w:hAnsi="宋体"/>
          <w:color w:val="000000"/>
          <w:szCs w:val="21"/>
        </w:rPr>
        <w:t>或被认定为无效竞价。</w:t>
      </w:r>
    </w:p>
    <w:p>
      <w:pPr>
        <w:pStyle w:val="25"/>
        <w:numPr>
          <w:ilvl w:val="0"/>
          <w:numId w:val="3"/>
        </w:numPr>
        <w:spacing w:line="360" w:lineRule="auto"/>
        <w:ind w:firstLineChars="0"/>
        <w:rPr>
          <w:rFonts w:ascii="宋体" w:hAnsi="宋体"/>
          <w:color w:val="000000"/>
          <w:szCs w:val="21"/>
        </w:rPr>
      </w:pPr>
      <w:r>
        <w:rPr>
          <w:rFonts w:hint="eastAsia" w:ascii="宋体" w:hAnsi="宋体"/>
          <w:color w:val="000000"/>
          <w:kern w:val="0"/>
          <w:szCs w:val="21"/>
        </w:rPr>
        <w:t>采购人有权拒绝接受任何不合格的货物或服务，由此产生的费用及相关后果均由成交供应商自行承担。</w:t>
      </w:r>
    </w:p>
    <w:p>
      <w:pPr>
        <w:pStyle w:val="24"/>
        <w:widowControl/>
        <w:numPr>
          <w:ilvl w:val="0"/>
          <w:numId w:val="3"/>
        </w:numPr>
        <w:spacing w:line="360" w:lineRule="auto"/>
        <w:ind w:firstLineChars="0"/>
        <w:jc w:val="left"/>
        <w:rPr>
          <w:rFonts w:ascii="宋体" w:hAnsi="宋体"/>
          <w:color w:val="000000"/>
          <w:szCs w:val="21"/>
        </w:rPr>
      </w:pPr>
      <w:r>
        <w:rPr>
          <w:rFonts w:ascii="宋体" w:hAnsi="宋体"/>
          <w:b/>
          <w:color w:val="000000"/>
          <w:szCs w:val="21"/>
          <w:shd w:val="clear" w:color="auto" w:fill="FFFFFF"/>
        </w:rPr>
        <w:t>采购人确认竞价结果后，代理机构将在广东省阳春监狱线上采购一体化平台进行成交候选人公示，公示期为</w:t>
      </w:r>
      <w:r>
        <w:rPr>
          <w:rFonts w:hint="eastAsia" w:ascii="宋体" w:hAnsi="宋体"/>
          <w:b/>
          <w:color w:val="000000"/>
          <w:szCs w:val="21"/>
          <w:shd w:val="clear" w:color="auto" w:fill="FFFFFF"/>
        </w:rPr>
        <w:t>3</w:t>
      </w:r>
      <w:r>
        <w:rPr>
          <w:rFonts w:ascii="宋体" w:hAnsi="宋体"/>
          <w:b/>
          <w:color w:val="000000"/>
          <w:szCs w:val="21"/>
          <w:shd w:val="clear" w:color="auto" w:fill="FFFFFF"/>
        </w:rPr>
        <w:t>个工作日</w:t>
      </w:r>
      <w:r>
        <w:rPr>
          <w:rFonts w:hint="eastAsia" w:ascii="宋体" w:hAnsi="宋体"/>
          <w:b/>
          <w:color w:val="000000"/>
          <w:szCs w:val="21"/>
          <w:shd w:val="clear" w:color="auto" w:fill="FFFFFF"/>
        </w:rPr>
        <w:t>。</w:t>
      </w:r>
    </w:p>
    <w:p>
      <w:pPr>
        <w:pStyle w:val="25"/>
        <w:numPr>
          <w:ilvl w:val="0"/>
          <w:numId w:val="3"/>
        </w:numPr>
        <w:spacing w:line="360" w:lineRule="auto"/>
        <w:ind w:firstLineChars="0"/>
        <w:rPr>
          <w:rFonts w:ascii="宋体" w:hAnsi="宋体"/>
          <w:color w:val="000000"/>
          <w:szCs w:val="21"/>
        </w:rPr>
      </w:pPr>
      <w:r>
        <w:rPr>
          <w:rFonts w:hint="eastAsia" w:ascii="宋体" w:hAnsi="宋体"/>
          <w:color w:val="000000"/>
          <w:szCs w:val="21"/>
        </w:rPr>
        <w:t>供应商认为竞价结果损害其权益的，应按照云采链平台相关指引在规定的时间内向采购人或代理机构提交书面质疑，不提交的视为无异议，</w:t>
      </w:r>
      <w:r>
        <w:rPr>
          <w:rFonts w:ascii="宋体" w:hAnsi="宋体"/>
          <w:color w:val="000000"/>
          <w:szCs w:val="21"/>
        </w:rPr>
        <w:t>逾期提交将不予受理</w:t>
      </w:r>
      <w:r>
        <w:rPr>
          <w:rFonts w:hint="eastAsia" w:ascii="宋体" w:hAnsi="宋体"/>
          <w:color w:val="000000"/>
          <w:szCs w:val="21"/>
        </w:rPr>
        <w:t>。</w:t>
      </w:r>
    </w:p>
    <w:p>
      <w:pPr>
        <w:pStyle w:val="25"/>
        <w:numPr>
          <w:ilvl w:val="0"/>
          <w:numId w:val="3"/>
        </w:numPr>
        <w:spacing w:line="360" w:lineRule="auto"/>
        <w:ind w:firstLineChars="0"/>
        <w:rPr>
          <w:rFonts w:ascii="宋体" w:hAnsi="宋体"/>
          <w:color w:val="000000"/>
          <w:szCs w:val="21"/>
        </w:rPr>
      </w:pPr>
      <w:r>
        <w:rPr>
          <w:rFonts w:hint="eastAsia" w:ascii="宋体" w:hAnsi="宋体"/>
          <w:color w:val="000000"/>
          <w:szCs w:val="21"/>
        </w:rPr>
        <w:t>本竞价公告和竞价文件的解释权归</w:t>
      </w:r>
      <w:r>
        <w:rPr>
          <w:rFonts w:hint="eastAsia" w:ascii="宋体" w:hAnsi="宋体" w:cs="宋体"/>
          <w:color w:val="000000"/>
          <w:szCs w:val="21"/>
          <w:lang w:eastAsia="zh-TW"/>
        </w:rPr>
        <w:t>“</w:t>
      </w:r>
      <w:r>
        <w:rPr>
          <w:rFonts w:ascii="宋体" w:hAnsi="宋体"/>
          <w:color w:val="000000"/>
          <w:szCs w:val="21"/>
        </w:rPr>
        <w:t>云采链（广州）信息科技有限公司</w:t>
      </w:r>
      <w:r>
        <w:rPr>
          <w:rFonts w:hint="eastAsia" w:ascii="宋体" w:hAnsi="宋体" w:cs="宋体"/>
          <w:color w:val="000000"/>
          <w:szCs w:val="21"/>
          <w:lang w:eastAsia="zh-TW"/>
        </w:rPr>
        <w:t>”所有。</w:t>
      </w:r>
    </w:p>
    <w:p>
      <w:pPr>
        <w:pStyle w:val="25"/>
        <w:numPr>
          <w:ilvl w:val="0"/>
          <w:numId w:val="2"/>
        </w:numPr>
        <w:spacing w:line="360" w:lineRule="auto"/>
        <w:ind w:firstLineChars="0"/>
        <w:rPr>
          <w:rFonts w:ascii="宋体" w:hAnsi="宋体"/>
          <w:color w:val="000000"/>
          <w:szCs w:val="21"/>
        </w:rPr>
      </w:pPr>
      <w:r>
        <w:rPr>
          <w:rFonts w:hint="eastAsia" w:ascii="宋体" w:hAnsi="宋体"/>
          <w:b/>
          <w:color w:val="000000"/>
          <w:szCs w:val="21"/>
        </w:rPr>
        <w:t>竞价文件的澄清或修改</w:t>
      </w:r>
    </w:p>
    <w:p>
      <w:pPr>
        <w:pStyle w:val="25"/>
        <w:numPr>
          <w:ilvl w:val="1"/>
          <w:numId w:val="4"/>
        </w:numPr>
        <w:spacing w:line="360" w:lineRule="auto"/>
        <w:ind w:firstLineChars="0"/>
        <w:rPr>
          <w:rFonts w:ascii="宋体" w:hAnsi="宋体"/>
          <w:color w:val="000000"/>
          <w:szCs w:val="21"/>
        </w:rPr>
      </w:pPr>
      <w:r>
        <w:rPr>
          <w:rFonts w:hint="eastAsia" w:ascii="宋体" w:hAnsi="宋体"/>
          <w:color w:val="000000"/>
          <w:szCs w:val="21"/>
        </w:rPr>
        <w:t>采购人或者采购代理机构可以对已发出的竞价文件进行必要的澄清或者修改。澄清或者修改的内容将在云采链平台上发布澄清（更正/变更）公告。</w:t>
      </w:r>
    </w:p>
    <w:p>
      <w:pPr>
        <w:pStyle w:val="25"/>
        <w:numPr>
          <w:ilvl w:val="1"/>
          <w:numId w:val="4"/>
        </w:numPr>
        <w:spacing w:line="360" w:lineRule="auto"/>
        <w:ind w:firstLineChars="0"/>
        <w:rPr>
          <w:rFonts w:ascii="宋体" w:hAnsi="宋体"/>
          <w:color w:val="000000"/>
          <w:szCs w:val="21"/>
        </w:rPr>
      </w:pPr>
      <w:r>
        <w:rPr>
          <w:rFonts w:hint="eastAsia" w:ascii="宋体" w:hAnsi="宋体"/>
          <w:color w:val="000000"/>
          <w:szCs w:val="21"/>
        </w:rPr>
        <w:t>无论澄清或者修改的内容是否影响竞价，平台将以短信形式通知所有的报名供应商；报名供应商应按要求履行相应的义务；</w:t>
      </w:r>
      <w:r>
        <w:rPr>
          <w:rFonts w:hint="eastAsia" w:ascii="宋体" w:hAnsi="宋体" w:cs="宋体"/>
          <w:color w:val="000000"/>
          <w:szCs w:val="21"/>
        </w:rPr>
        <w:t>如报名</w:t>
      </w:r>
      <w:r>
        <w:rPr>
          <w:rFonts w:hint="eastAsia" w:ascii="宋体" w:hAnsi="宋体" w:cs="宋体"/>
          <w:color w:val="000000"/>
          <w:szCs w:val="21"/>
          <w:lang w:eastAsia="zh-TW"/>
        </w:rPr>
        <w:t>截止时间</w:t>
      </w:r>
      <w:r>
        <w:rPr>
          <w:rFonts w:hint="eastAsia" w:ascii="宋体" w:hAnsi="宋体" w:cs="宋体"/>
          <w:color w:val="000000"/>
          <w:szCs w:val="21"/>
        </w:rPr>
        <w:t>少于一个工作日的，</w:t>
      </w:r>
      <w:r>
        <w:rPr>
          <w:rFonts w:hint="eastAsia" w:ascii="宋体" w:hAnsi="宋体"/>
          <w:color w:val="000000"/>
          <w:szCs w:val="21"/>
        </w:rPr>
        <w:t>采购人或者采购代理机构应当相应顺延报名的截止时间。</w:t>
      </w:r>
    </w:p>
    <w:p>
      <w:pPr>
        <w:pStyle w:val="25"/>
        <w:numPr>
          <w:ilvl w:val="1"/>
          <w:numId w:val="4"/>
        </w:numPr>
        <w:spacing w:line="360" w:lineRule="auto"/>
        <w:ind w:firstLineChars="0"/>
        <w:rPr>
          <w:rFonts w:ascii="宋体" w:hAnsi="宋体"/>
          <w:color w:val="000000"/>
          <w:szCs w:val="21"/>
        </w:rPr>
      </w:pPr>
      <w:r>
        <w:rPr>
          <w:rFonts w:hint="eastAsia" w:ascii="宋体" w:hAnsi="宋体"/>
          <w:color w:val="000000"/>
          <w:szCs w:val="21"/>
        </w:rPr>
        <w:t>采购人或者采购代理机构发出的澄清或修改（更正/变更）的内容为竞价文件的组成部分，并对供应商具有约束力。</w:t>
      </w:r>
    </w:p>
    <w:p>
      <w:pPr>
        <w:pStyle w:val="25"/>
        <w:numPr>
          <w:ilvl w:val="0"/>
          <w:numId w:val="2"/>
        </w:numPr>
        <w:spacing w:line="360" w:lineRule="auto"/>
        <w:ind w:firstLineChars="0"/>
        <w:rPr>
          <w:rFonts w:ascii="宋体" w:hAnsi="宋体"/>
          <w:b/>
          <w:color w:val="000000"/>
          <w:szCs w:val="21"/>
        </w:rPr>
      </w:pPr>
      <w:r>
        <w:rPr>
          <w:rStyle w:val="19"/>
          <w:rFonts w:hint="eastAsia" w:ascii="宋体" w:hAnsi="宋体"/>
          <w:color w:val="000000"/>
          <w:szCs w:val="21"/>
        </w:rPr>
        <w:t>报名要求（</w:t>
      </w:r>
      <w:r>
        <w:rPr>
          <w:rFonts w:hint="eastAsia" w:ascii="宋体" w:hAnsi="宋体"/>
          <w:color w:val="000000"/>
          <w:szCs w:val="21"/>
        </w:rPr>
        <w:t>参与竞价的</w:t>
      </w:r>
      <w:r>
        <w:rPr>
          <w:rStyle w:val="19"/>
          <w:rFonts w:hint="eastAsia" w:ascii="宋体" w:hAnsi="宋体"/>
          <w:color w:val="000000"/>
          <w:szCs w:val="21"/>
        </w:rPr>
        <w:t>供应商资质要求: 报名时需要提供以下</w:t>
      </w:r>
      <w:r>
        <w:rPr>
          <w:rStyle w:val="19"/>
          <w:rFonts w:hint="eastAsia" w:ascii="宋体" w:hAnsi="宋体"/>
          <w:color w:val="000000"/>
          <w:szCs w:val="21"/>
          <w:u w:val="double"/>
        </w:rPr>
        <w:t>盖章</w:t>
      </w:r>
      <w:r>
        <w:rPr>
          <w:rStyle w:val="19"/>
          <w:rFonts w:hint="eastAsia" w:ascii="宋体" w:hAnsi="宋体"/>
          <w:color w:val="000000"/>
          <w:szCs w:val="21"/>
        </w:rPr>
        <w:t>资料，</w:t>
      </w:r>
      <w:r>
        <w:rPr>
          <w:rFonts w:hint="eastAsia" w:ascii="宋体" w:hAnsi="宋体"/>
          <w:color w:val="000000"/>
          <w:szCs w:val="21"/>
        </w:rPr>
        <w:t>并对上传的报名文件资料承担责任</w:t>
      </w:r>
      <w:r>
        <w:rPr>
          <w:rStyle w:val="19"/>
          <w:rFonts w:hint="eastAsia" w:ascii="宋体" w:hAnsi="宋体"/>
          <w:color w:val="000000"/>
          <w:szCs w:val="21"/>
        </w:rPr>
        <w:t>）</w:t>
      </w:r>
      <w:r>
        <w:rPr>
          <w:rFonts w:hint="eastAsia" w:ascii="宋体" w:hAnsi="宋体" w:cs="仿宋"/>
          <w:color w:val="000000"/>
          <w:szCs w:val="21"/>
        </w:rPr>
        <w:t xml:space="preserve">     </w:t>
      </w:r>
    </w:p>
    <w:p>
      <w:pPr>
        <w:pStyle w:val="29"/>
        <w:widowControl/>
        <w:numPr>
          <w:ilvl w:val="0"/>
          <w:numId w:val="5"/>
        </w:numPr>
        <w:spacing w:line="360" w:lineRule="auto"/>
        <w:ind w:firstLineChars="0"/>
        <w:jc w:val="left"/>
        <w:rPr>
          <w:rFonts w:ascii="宋体" w:hAnsi="宋体" w:cs="宋体"/>
          <w:kern w:val="0"/>
          <w:szCs w:val="21"/>
        </w:rPr>
      </w:pPr>
      <w:r>
        <w:rPr>
          <w:rFonts w:hint="eastAsia" w:ascii="宋体" w:hAnsi="宋体" w:cs="宋体"/>
          <w:kern w:val="0"/>
          <w:szCs w:val="20"/>
        </w:rPr>
        <w:t>具有独立承担民事责任的在中华人民共和国境内注册的法人或其他组织（提供法人或其他组织的营业执照等证明材料）。</w:t>
      </w:r>
    </w:p>
    <w:p>
      <w:pPr>
        <w:pStyle w:val="29"/>
        <w:widowControl/>
        <w:numPr>
          <w:ilvl w:val="0"/>
          <w:numId w:val="5"/>
        </w:numPr>
        <w:spacing w:line="360" w:lineRule="auto"/>
        <w:ind w:firstLineChars="0"/>
        <w:jc w:val="left"/>
        <w:rPr>
          <w:rFonts w:ascii="宋体" w:hAnsi="宋体" w:cs="宋体"/>
          <w:kern w:val="0"/>
          <w:szCs w:val="21"/>
        </w:rPr>
      </w:pPr>
      <w:r>
        <w:rPr>
          <w:rFonts w:hint="eastAsia" w:ascii="宋体" w:hAnsi="宋体"/>
          <w:kern w:val="0"/>
        </w:rPr>
        <w:t>本项目不接受联合体供应商，不允许转包、分包。供应商须提供供应商资格声明函，</w:t>
      </w:r>
      <w:r>
        <w:rPr>
          <w:rFonts w:hint="eastAsia" w:ascii="宋体" w:hAnsi="宋体"/>
          <w:b/>
          <w:bCs/>
          <w:kern w:val="0"/>
        </w:rPr>
        <w:t>格式详见附件。</w:t>
      </w:r>
    </w:p>
    <w:p>
      <w:pPr>
        <w:pStyle w:val="29"/>
        <w:widowControl/>
        <w:numPr>
          <w:ilvl w:val="0"/>
          <w:numId w:val="5"/>
        </w:numPr>
        <w:spacing w:line="360" w:lineRule="auto"/>
        <w:ind w:firstLineChars="0"/>
        <w:jc w:val="left"/>
        <w:rPr>
          <w:rFonts w:ascii="宋体" w:hAnsi="宋体" w:cs="宋体"/>
          <w:kern w:val="0"/>
          <w:szCs w:val="21"/>
        </w:rPr>
      </w:pPr>
      <w:r>
        <w:rPr>
          <w:rFonts w:hint="eastAsia" w:ascii="宋体" w:hAnsi="宋体" w:cs="宋体"/>
          <w:kern w:val="0"/>
          <w:szCs w:val="21"/>
        </w:rPr>
        <w:t>供应商完全响应本项目用户需求的条款、内容及要求的，提供用户需求书响应声明函即可</w:t>
      </w:r>
      <w:r>
        <w:rPr>
          <w:rFonts w:hint="eastAsia" w:ascii="宋体" w:hAnsi="宋体" w:cs="宋体"/>
          <w:b/>
          <w:kern w:val="0"/>
          <w:szCs w:val="21"/>
        </w:rPr>
        <w:t>，格式详见附件</w:t>
      </w:r>
      <w:r>
        <w:rPr>
          <w:rFonts w:hint="eastAsia" w:ascii="宋体" w:hAnsi="宋体" w:cs="宋体"/>
          <w:kern w:val="0"/>
          <w:szCs w:val="21"/>
        </w:rPr>
        <w:t xml:space="preserve">。 </w:t>
      </w:r>
    </w:p>
    <w:p>
      <w:pPr>
        <w:pStyle w:val="29"/>
        <w:widowControl/>
        <w:numPr>
          <w:ilvl w:val="0"/>
          <w:numId w:val="5"/>
        </w:numPr>
        <w:spacing w:line="360" w:lineRule="auto"/>
        <w:ind w:firstLineChars="0"/>
        <w:jc w:val="left"/>
        <w:rPr>
          <w:rFonts w:ascii="宋体" w:hAnsi="宋体" w:cs="宋体"/>
          <w:kern w:val="0"/>
          <w:szCs w:val="20"/>
        </w:rPr>
      </w:pPr>
      <w:r>
        <w:rPr>
          <w:rFonts w:hint="eastAsia" w:ascii="宋体" w:hAnsi="宋体" w:cs="宋体"/>
          <w:kern w:val="0"/>
          <w:szCs w:val="20"/>
        </w:rPr>
        <w:t>经办人如是法定代表人，需提供法定代表人证明书；经办人如是供应商授权代表，需提供法定代表人授权委托书和法定代表人证明书</w:t>
      </w:r>
      <w:r>
        <w:rPr>
          <w:rFonts w:hint="eastAsia" w:ascii="宋体" w:hAnsi="宋体" w:cs="宋体"/>
          <w:b/>
          <w:kern w:val="0"/>
          <w:szCs w:val="21"/>
        </w:rPr>
        <w:t>，格式详见附件</w:t>
      </w:r>
      <w:r>
        <w:rPr>
          <w:rFonts w:hint="eastAsia" w:ascii="宋体" w:hAnsi="宋体" w:cs="宋体"/>
          <w:kern w:val="0"/>
          <w:szCs w:val="20"/>
        </w:rPr>
        <w:t>。</w:t>
      </w:r>
    </w:p>
    <w:p>
      <w:pPr>
        <w:pStyle w:val="25"/>
        <w:numPr>
          <w:ilvl w:val="0"/>
          <w:numId w:val="2"/>
        </w:numPr>
        <w:spacing w:line="360" w:lineRule="auto"/>
        <w:ind w:firstLineChars="0"/>
        <w:rPr>
          <w:rStyle w:val="19"/>
          <w:rFonts w:ascii="宋体" w:hAnsi="宋体"/>
          <w:bCs w:val="0"/>
          <w:color w:val="000000"/>
          <w:szCs w:val="21"/>
        </w:rPr>
      </w:pPr>
      <w:r>
        <w:rPr>
          <w:rStyle w:val="19"/>
          <w:rFonts w:hint="eastAsia" w:ascii="宋体" w:hAnsi="宋体"/>
          <w:color w:val="000000"/>
          <w:szCs w:val="21"/>
        </w:rPr>
        <w:t>报价要求（报价时需要提供以下</w:t>
      </w:r>
      <w:r>
        <w:rPr>
          <w:rStyle w:val="19"/>
          <w:rFonts w:hint="eastAsia" w:ascii="宋体" w:hAnsi="宋体"/>
          <w:color w:val="000000"/>
          <w:szCs w:val="21"/>
          <w:u w:val="double"/>
        </w:rPr>
        <w:t>盖章</w:t>
      </w:r>
      <w:r>
        <w:rPr>
          <w:rStyle w:val="19"/>
          <w:rFonts w:hint="eastAsia" w:ascii="宋体" w:hAnsi="宋体"/>
          <w:color w:val="000000"/>
          <w:szCs w:val="21"/>
        </w:rPr>
        <w:t>资料，</w:t>
      </w:r>
      <w:r>
        <w:rPr>
          <w:rFonts w:hint="eastAsia" w:ascii="宋体" w:hAnsi="宋体"/>
          <w:color w:val="000000"/>
          <w:szCs w:val="21"/>
        </w:rPr>
        <w:t>并对上传的竞价文件资料承担责任</w:t>
      </w:r>
      <w:r>
        <w:rPr>
          <w:rStyle w:val="19"/>
          <w:rFonts w:hint="eastAsia" w:ascii="宋体" w:hAnsi="宋体"/>
          <w:color w:val="000000"/>
          <w:szCs w:val="21"/>
        </w:rPr>
        <w:t>）</w:t>
      </w:r>
    </w:p>
    <w:p>
      <w:pPr>
        <w:pStyle w:val="25"/>
        <w:numPr>
          <w:ilvl w:val="0"/>
          <w:numId w:val="6"/>
        </w:numPr>
        <w:spacing w:line="360" w:lineRule="auto"/>
        <w:ind w:firstLineChars="0"/>
        <w:rPr>
          <w:rFonts w:ascii="宋体" w:hAnsi="宋体"/>
          <w:color w:val="000000"/>
          <w:szCs w:val="21"/>
        </w:rPr>
      </w:pPr>
      <w:r>
        <w:rPr>
          <w:rFonts w:hint="eastAsia" w:ascii="宋体" w:hAnsi="宋体"/>
          <w:color w:val="000000"/>
          <w:szCs w:val="21"/>
        </w:rPr>
        <w:t>通过报名供应商应根据本公告要求，在规定的竞价时间内对采购项目进行报价，同时按本公告要求完整</w:t>
      </w:r>
      <w:r>
        <w:rPr>
          <w:rFonts w:hint="eastAsia" w:ascii="宋体" w:hAnsi="宋体" w:cs="宋体"/>
          <w:color w:val="000000"/>
          <w:szCs w:val="21"/>
          <w:lang w:eastAsia="zh-TW"/>
        </w:rPr>
        <w:t>、真实、准确地</w:t>
      </w:r>
      <w:r>
        <w:rPr>
          <w:rFonts w:hint="eastAsia" w:ascii="宋体" w:hAnsi="宋体" w:cs="宋体"/>
          <w:color w:val="000000"/>
          <w:szCs w:val="21"/>
        </w:rPr>
        <w:t>填写并</w:t>
      </w:r>
      <w:r>
        <w:rPr>
          <w:rFonts w:hint="eastAsia" w:ascii="宋体" w:hAnsi="宋体"/>
          <w:color w:val="000000"/>
          <w:szCs w:val="21"/>
        </w:rPr>
        <w:t>上传相应报价附件（报价表）。</w:t>
      </w:r>
    </w:p>
    <w:p>
      <w:pPr>
        <w:pStyle w:val="25"/>
        <w:numPr>
          <w:ilvl w:val="0"/>
          <w:numId w:val="6"/>
        </w:numPr>
        <w:spacing w:line="360" w:lineRule="auto"/>
        <w:ind w:firstLineChars="0"/>
        <w:rPr>
          <w:rFonts w:ascii="宋体" w:hAnsi="宋体"/>
          <w:b/>
          <w:color w:val="000000"/>
          <w:szCs w:val="21"/>
          <w:u w:val="double"/>
        </w:rPr>
      </w:pPr>
      <w:r>
        <w:rPr>
          <w:rFonts w:hint="eastAsia" w:ascii="宋体" w:hAnsi="宋体"/>
          <w:b/>
          <w:color w:val="000000"/>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r>
        <w:rPr>
          <w:rFonts w:hint="eastAsia" w:ascii="宋体" w:hAnsi="宋体"/>
          <w:b/>
          <w:color w:val="000000"/>
          <w:szCs w:val="21"/>
          <w:u w:val="double"/>
          <w:shd w:val="clear" w:color="auto" w:fill="FFFFFF"/>
        </w:rPr>
        <w:t>；</w:t>
      </w:r>
    </w:p>
    <w:p>
      <w:pPr>
        <w:pStyle w:val="25"/>
        <w:numPr>
          <w:ilvl w:val="0"/>
          <w:numId w:val="2"/>
        </w:numPr>
        <w:spacing w:line="360" w:lineRule="auto"/>
        <w:ind w:firstLineChars="0"/>
        <w:rPr>
          <w:rStyle w:val="19"/>
          <w:rFonts w:ascii="宋体" w:hAnsi="宋体"/>
          <w:bCs w:val="0"/>
          <w:color w:val="000000"/>
          <w:szCs w:val="21"/>
        </w:rPr>
      </w:pPr>
      <w:r>
        <w:rPr>
          <w:rStyle w:val="19"/>
          <w:rFonts w:hint="eastAsia" w:ascii="宋体" w:hAnsi="宋体"/>
          <w:color w:val="000000"/>
          <w:szCs w:val="21"/>
        </w:rPr>
        <w:t>确定成交候选人</w:t>
      </w:r>
    </w:p>
    <w:p>
      <w:pPr>
        <w:pStyle w:val="25"/>
        <w:spacing w:line="360" w:lineRule="auto"/>
        <w:ind w:left="420" w:firstLine="0" w:firstLineChars="0"/>
        <w:rPr>
          <w:rFonts w:ascii="宋体" w:hAnsi="宋体"/>
        </w:rPr>
      </w:pPr>
      <w:r>
        <w:rPr>
          <w:rFonts w:hint="eastAsia" w:ascii="宋体" w:hAnsi="宋体"/>
          <w:szCs w:val="21"/>
        </w:rPr>
        <w:t>本项目以下浮率形式进行报价，如项目存在最高限价或单价最高限价，成交总金额（单价）=最高限价（单价最高限价）×（1-下浮率）。报价时间截止后，系统按下浮率由高到低顺序排列</w:t>
      </w:r>
      <w:r>
        <w:rPr>
          <w:rFonts w:hint="eastAsia" w:ascii="宋体" w:hAnsi="宋体"/>
        </w:rPr>
        <w:t>，下浮率最高的为第一成交候选人，报下浮率相同的，按报价时间在前的为第一成交候选人；报下浮率次高的为第二成交候选人，以此类推。</w:t>
      </w:r>
    </w:p>
    <w:p>
      <w:pPr>
        <w:pStyle w:val="25"/>
        <w:spacing w:line="360" w:lineRule="auto"/>
        <w:ind w:left="420" w:firstLine="0" w:firstLineChars="0"/>
        <w:rPr>
          <w:rFonts w:ascii="宋体" w:hAnsi="宋体"/>
        </w:rPr>
      </w:pPr>
      <w:r>
        <w:rPr>
          <w:rFonts w:hint="eastAsia" w:ascii="宋体" w:hAnsi="宋体"/>
        </w:rPr>
        <w:t>（示例：如A项目采购一批</w:t>
      </w:r>
      <w:r>
        <w:rPr>
          <w:rFonts w:hint="eastAsia" w:ascii="宋体" w:hAnsi="宋体"/>
          <w:color w:val="000000"/>
          <w:kern w:val="0"/>
        </w:rPr>
        <w:t>格之格硒鼓 NT-C0388A</w:t>
      </w:r>
      <w:r>
        <w:rPr>
          <w:rFonts w:hint="eastAsia" w:ascii="宋体" w:hAnsi="宋体"/>
        </w:rPr>
        <w:t>，以实际供应量进行结算，该项目以下浮率形式报价，</w:t>
      </w:r>
      <w:r>
        <w:rPr>
          <w:rFonts w:hint="eastAsia" w:ascii="宋体" w:hAnsi="宋体"/>
          <w:color w:val="000000"/>
          <w:kern w:val="0"/>
        </w:rPr>
        <w:t>格之格硒鼓 NT-C0388A</w:t>
      </w:r>
      <w:r>
        <w:rPr>
          <w:rFonts w:hint="eastAsia" w:ascii="宋体" w:hAnsi="宋体"/>
        </w:rPr>
        <w:t>预算单价为</w:t>
      </w:r>
      <w:r>
        <w:rPr>
          <w:rFonts w:ascii="宋体" w:hAnsi="宋体"/>
          <w:color w:val="000000"/>
          <w:kern w:val="0"/>
        </w:rPr>
        <w:t>82</w:t>
      </w:r>
      <w:r>
        <w:rPr>
          <w:rFonts w:hint="eastAsia" w:ascii="宋体" w:hAnsi="宋体"/>
        </w:rPr>
        <w:t>元/支，某供应商报下浮率为1</w:t>
      </w:r>
      <w:r>
        <w:rPr>
          <w:rFonts w:ascii="宋体" w:hAnsi="宋体"/>
        </w:rPr>
        <w:t>0</w:t>
      </w:r>
      <w:r>
        <w:rPr>
          <w:rFonts w:hint="eastAsia" w:ascii="宋体" w:hAnsi="宋体"/>
        </w:rPr>
        <w:t>%，则成交单价=</w:t>
      </w:r>
      <w:r>
        <w:rPr>
          <w:rFonts w:ascii="宋体" w:hAnsi="宋体"/>
          <w:color w:val="000000"/>
          <w:kern w:val="0"/>
        </w:rPr>
        <w:t>82</w:t>
      </w:r>
      <w:r>
        <w:rPr>
          <w:rFonts w:hint="eastAsia" w:ascii="宋体" w:hAnsi="宋体"/>
        </w:rPr>
        <w:t>元/支*（1-</w:t>
      </w:r>
      <w:r>
        <w:rPr>
          <w:rFonts w:ascii="宋体" w:hAnsi="宋体"/>
        </w:rPr>
        <w:t>10</w:t>
      </w:r>
      <w:r>
        <w:rPr>
          <w:rFonts w:hint="eastAsia" w:ascii="宋体" w:hAnsi="宋体"/>
        </w:rPr>
        <w:t>%）=</w:t>
      </w:r>
      <w:r>
        <w:rPr>
          <w:rFonts w:ascii="宋体" w:hAnsi="宋体"/>
        </w:rPr>
        <w:t>73.8</w:t>
      </w:r>
      <w:r>
        <w:rPr>
          <w:rFonts w:hint="eastAsia" w:ascii="宋体" w:hAnsi="宋体"/>
        </w:rPr>
        <w:t>元/支）；</w:t>
      </w:r>
    </w:p>
    <w:p>
      <w:pPr>
        <w:pStyle w:val="25"/>
        <w:numPr>
          <w:ilvl w:val="0"/>
          <w:numId w:val="2"/>
        </w:numPr>
        <w:spacing w:line="360" w:lineRule="auto"/>
        <w:ind w:firstLineChars="0"/>
        <w:rPr>
          <w:rFonts w:ascii="宋体" w:hAnsi="宋体"/>
          <w:b/>
          <w:color w:val="000000"/>
          <w:szCs w:val="21"/>
        </w:rPr>
      </w:pPr>
      <w:r>
        <w:rPr>
          <w:rFonts w:hint="eastAsia" w:ascii="宋体" w:hAnsi="宋体"/>
          <w:b/>
          <w:color w:val="000000"/>
          <w:szCs w:val="21"/>
        </w:rPr>
        <w:t>无效报价</w:t>
      </w:r>
    </w:p>
    <w:p>
      <w:pPr>
        <w:pStyle w:val="42"/>
        <w:numPr>
          <w:ilvl w:val="0"/>
          <w:numId w:val="7"/>
        </w:numPr>
        <w:spacing w:line="360" w:lineRule="auto"/>
        <w:ind w:firstLineChars="0"/>
        <w:rPr>
          <w:rFonts w:ascii="宋体" w:hAnsi="宋体"/>
          <w:color w:val="000000"/>
          <w:szCs w:val="21"/>
        </w:rPr>
      </w:pPr>
      <w:r>
        <w:rPr>
          <w:rFonts w:hint="eastAsia" w:ascii="宋体" w:hAnsi="宋体"/>
          <w:b/>
          <w:color w:val="000000"/>
          <w:szCs w:val="21"/>
        </w:rPr>
        <w:t>下浮率报价没有大于或等于100%，也没有为负数，且是固定唯一值的，否则为无效报价。</w:t>
      </w:r>
    </w:p>
    <w:p>
      <w:pPr>
        <w:pStyle w:val="25"/>
        <w:numPr>
          <w:ilvl w:val="0"/>
          <w:numId w:val="7"/>
        </w:numPr>
        <w:spacing w:line="360" w:lineRule="auto"/>
        <w:ind w:firstLineChars="0"/>
        <w:rPr>
          <w:rFonts w:ascii="宋体" w:hAnsi="宋体"/>
          <w:color w:val="000000"/>
          <w:szCs w:val="21"/>
        </w:rPr>
      </w:pPr>
      <w:r>
        <w:rPr>
          <w:rFonts w:hint="eastAsia" w:ascii="宋体" w:hAnsi="宋体"/>
          <w:color w:val="000000"/>
          <w:szCs w:val="21"/>
        </w:rPr>
        <w:t>参与竞价的供应商报价超过最高限价或低于最低限价或超过项目对应产品单项最高限价的视为无效报价。</w:t>
      </w:r>
    </w:p>
    <w:p>
      <w:pPr>
        <w:pStyle w:val="25"/>
        <w:numPr>
          <w:ilvl w:val="0"/>
          <w:numId w:val="7"/>
        </w:numPr>
        <w:spacing w:line="360" w:lineRule="auto"/>
        <w:ind w:firstLineChars="0"/>
        <w:rPr>
          <w:rFonts w:ascii="宋体" w:hAnsi="宋体"/>
          <w:color w:val="000000"/>
          <w:szCs w:val="21"/>
        </w:rPr>
      </w:pPr>
      <w:r>
        <w:rPr>
          <w:rFonts w:hint="eastAsia" w:ascii="宋体" w:hAnsi="宋体"/>
          <w:color w:val="000000"/>
          <w:szCs w:val="21"/>
        </w:rPr>
        <w:t>参与竞价的</w:t>
      </w:r>
      <w:r>
        <w:rPr>
          <w:rFonts w:hint="eastAsia" w:ascii="宋体" w:hAnsi="宋体"/>
          <w:bCs/>
          <w:color w:val="000000"/>
          <w:szCs w:val="21"/>
        </w:rPr>
        <w:t>供应商须提供本项目要求的资质文件，如果不按公告规定或竞价文件要求等相关规定提供符合要求的资质文件，将被视为无效报价；</w:t>
      </w:r>
    </w:p>
    <w:p>
      <w:pPr>
        <w:pStyle w:val="25"/>
        <w:numPr>
          <w:ilvl w:val="0"/>
          <w:numId w:val="7"/>
        </w:numPr>
        <w:spacing w:line="360" w:lineRule="auto"/>
        <w:ind w:firstLineChars="0"/>
        <w:rPr>
          <w:rFonts w:ascii="宋体" w:hAnsi="宋体"/>
          <w:color w:val="000000"/>
          <w:szCs w:val="21"/>
        </w:rPr>
      </w:pPr>
      <w:r>
        <w:rPr>
          <w:rFonts w:hint="eastAsia" w:ascii="宋体" w:hAnsi="宋体"/>
          <w:color w:val="000000"/>
          <w:szCs w:val="21"/>
        </w:rPr>
        <w:t>参与竞价的</w:t>
      </w:r>
      <w:r>
        <w:rPr>
          <w:rFonts w:hint="eastAsia" w:ascii="宋体" w:hAnsi="宋体"/>
          <w:bCs/>
          <w:color w:val="000000"/>
          <w:szCs w:val="21"/>
        </w:rPr>
        <w:t>供应商须对本项目采购内容进行整体报价，任何只对其中一部分内容进行的报价都被视为无效报价。</w:t>
      </w:r>
    </w:p>
    <w:p>
      <w:pPr>
        <w:pStyle w:val="25"/>
        <w:numPr>
          <w:ilvl w:val="0"/>
          <w:numId w:val="7"/>
        </w:numPr>
        <w:spacing w:line="360" w:lineRule="auto"/>
        <w:ind w:firstLineChars="0"/>
        <w:rPr>
          <w:rFonts w:ascii="宋体" w:hAnsi="宋体"/>
          <w:color w:val="000000"/>
          <w:szCs w:val="21"/>
        </w:rPr>
      </w:pPr>
      <w:r>
        <w:rPr>
          <w:rFonts w:ascii="宋体" w:hAnsi="宋体"/>
          <w:color w:val="000000"/>
          <w:szCs w:val="21"/>
          <w:u w:val="double"/>
        </w:rPr>
        <w:t>报价表</w:t>
      </w:r>
      <w:r>
        <w:rPr>
          <w:rFonts w:hint="eastAsia" w:ascii="宋体" w:hAnsi="宋体"/>
          <w:color w:val="000000"/>
          <w:szCs w:val="21"/>
          <w:u w:val="double"/>
        </w:rPr>
        <w:t>以及有报价供应商落款的报价文件</w:t>
      </w:r>
      <w:r>
        <w:rPr>
          <w:rFonts w:ascii="宋体" w:hAnsi="宋体"/>
          <w:color w:val="000000"/>
          <w:szCs w:val="21"/>
          <w:u w:val="double"/>
        </w:rPr>
        <w:t>必须加盖</w:t>
      </w:r>
      <w:r>
        <w:rPr>
          <w:rFonts w:hint="eastAsia" w:ascii="宋体" w:hAnsi="宋体"/>
          <w:color w:val="000000"/>
          <w:szCs w:val="21"/>
          <w:u w:val="double"/>
        </w:rPr>
        <w:t>报价供应商</w:t>
      </w:r>
      <w:r>
        <w:rPr>
          <w:rFonts w:ascii="宋体" w:hAnsi="宋体"/>
          <w:color w:val="000000"/>
          <w:szCs w:val="21"/>
          <w:u w:val="double"/>
        </w:rPr>
        <w:t>公章，否则视为无效报价</w:t>
      </w:r>
      <w:r>
        <w:rPr>
          <w:rFonts w:hint="eastAsia" w:ascii="宋体" w:hAnsi="宋体"/>
          <w:color w:val="000000"/>
          <w:szCs w:val="21"/>
        </w:rPr>
        <w:t>；</w:t>
      </w:r>
    </w:p>
    <w:p>
      <w:pPr>
        <w:numPr>
          <w:ilvl w:val="0"/>
          <w:numId w:val="7"/>
        </w:numPr>
        <w:spacing w:line="360" w:lineRule="auto"/>
        <w:rPr>
          <w:rFonts w:ascii="宋体" w:hAnsi="宋体" w:cs="宋体"/>
          <w:color w:val="000000"/>
          <w:kern w:val="0"/>
          <w:szCs w:val="21"/>
        </w:rPr>
      </w:pPr>
      <w:r>
        <w:rPr>
          <w:rFonts w:hint="eastAsia" w:ascii="宋体" w:hAnsi="宋体" w:cs="宋体"/>
          <w:color w:val="000000"/>
          <w:kern w:val="0"/>
          <w:szCs w:val="21"/>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pPr>
        <w:pStyle w:val="25"/>
        <w:numPr>
          <w:ilvl w:val="0"/>
          <w:numId w:val="2"/>
        </w:numPr>
        <w:spacing w:line="360" w:lineRule="auto"/>
        <w:ind w:firstLineChars="0"/>
        <w:rPr>
          <w:rFonts w:ascii="宋体" w:hAnsi="宋体"/>
          <w:b/>
          <w:color w:val="000000"/>
          <w:szCs w:val="21"/>
        </w:rPr>
      </w:pPr>
      <w:r>
        <w:rPr>
          <w:rFonts w:hint="eastAsia" w:ascii="宋体" w:hAnsi="宋体"/>
          <w:b/>
          <w:color w:val="000000"/>
          <w:szCs w:val="21"/>
        </w:rPr>
        <w:t>有下列情形之一的，视为串通竞价，其报价无效：</w:t>
      </w:r>
    </w:p>
    <w:p>
      <w:pPr>
        <w:widowControl/>
        <w:numPr>
          <w:ilvl w:val="2"/>
          <w:numId w:val="8"/>
        </w:numPr>
        <w:tabs>
          <w:tab w:val="left" w:pos="2100"/>
        </w:tabs>
        <w:spacing w:line="360" w:lineRule="auto"/>
        <w:jc w:val="left"/>
        <w:rPr>
          <w:rFonts w:ascii="宋体" w:hAnsi="宋体"/>
          <w:color w:val="000000"/>
          <w:szCs w:val="21"/>
        </w:rPr>
      </w:pPr>
      <w:r>
        <w:rPr>
          <w:rFonts w:hint="eastAsia" w:ascii="宋体" w:hAnsi="宋体"/>
          <w:color w:val="000000"/>
          <w:szCs w:val="21"/>
        </w:rPr>
        <w:t>存在单位负责人为同一人或存在控股、管理关系的不同单位参与同一竞价项目；</w:t>
      </w:r>
    </w:p>
    <w:p>
      <w:pPr>
        <w:pStyle w:val="25"/>
        <w:widowControl/>
        <w:numPr>
          <w:ilvl w:val="2"/>
          <w:numId w:val="8"/>
        </w:numPr>
        <w:spacing w:line="360" w:lineRule="auto"/>
        <w:ind w:firstLineChars="0"/>
        <w:jc w:val="left"/>
        <w:rPr>
          <w:rFonts w:ascii="宋体" w:hAnsi="宋体"/>
          <w:color w:val="000000"/>
          <w:szCs w:val="21"/>
        </w:rPr>
      </w:pPr>
      <w:r>
        <w:rPr>
          <w:rFonts w:hint="eastAsia" w:ascii="宋体" w:hAnsi="宋体"/>
          <w:color w:val="000000"/>
          <w:szCs w:val="21"/>
        </w:rPr>
        <w:t>不同供应商的响应文件由同一单位或者个人编制；</w:t>
      </w:r>
    </w:p>
    <w:p>
      <w:pPr>
        <w:pStyle w:val="25"/>
        <w:widowControl/>
        <w:numPr>
          <w:ilvl w:val="2"/>
          <w:numId w:val="8"/>
        </w:numPr>
        <w:spacing w:line="360" w:lineRule="auto"/>
        <w:ind w:firstLineChars="0"/>
        <w:jc w:val="left"/>
        <w:rPr>
          <w:rFonts w:ascii="宋体" w:hAnsi="宋体"/>
          <w:color w:val="000000"/>
          <w:szCs w:val="21"/>
        </w:rPr>
      </w:pPr>
      <w:r>
        <w:rPr>
          <w:rFonts w:hint="eastAsia" w:ascii="宋体" w:hAnsi="宋体"/>
          <w:color w:val="000000"/>
          <w:szCs w:val="21"/>
        </w:rPr>
        <w:t>不同供应商委托同一单位或者个人办理竞价事宜；</w:t>
      </w:r>
    </w:p>
    <w:p>
      <w:pPr>
        <w:pStyle w:val="25"/>
        <w:widowControl/>
        <w:numPr>
          <w:ilvl w:val="2"/>
          <w:numId w:val="8"/>
        </w:numPr>
        <w:spacing w:line="360" w:lineRule="auto"/>
        <w:ind w:firstLineChars="0"/>
        <w:jc w:val="left"/>
        <w:rPr>
          <w:rFonts w:ascii="宋体" w:hAnsi="宋体"/>
          <w:color w:val="000000"/>
          <w:szCs w:val="21"/>
        </w:rPr>
      </w:pPr>
      <w:r>
        <w:rPr>
          <w:rFonts w:hint="eastAsia" w:ascii="宋体" w:hAnsi="宋体"/>
          <w:color w:val="000000"/>
          <w:szCs w:val="21"/>
        </w:rPr>
        <w:t>不同供应商使用同一IP地址参与竞价；</w:t>
      </w:r>
    </w:p>
    <w:p>
      <w:pPr>
        <w:pStyle w:val="25"/>
        <w:widowControl/>
        <w:numPr>
          <w:ilvl w:val="2"/>
          <w:numId w:val="8"/>
        </w:numPr>
        <w:spacing w:line="360" w:lineRule="auto"/>
        <w:ind w:firstLineChars="0"/>
        <w:jc w:val="left"/>
        <w:rPr>
          <w:rFonts w:ascii="宋体" w:hAnsi="宋体"/>
          <w:color w:val="000000"/>
          <w:szCs w:val="21"/>
        </w:rPr>
      </w:pPr>
      <w:r>
        <w:rPr>
          <w:rFonts w:hint="eastAsia" w:ascii="宋体" w:hAnsi="宋体"/>
          <w:color w:val="000000"/>
          <w:szCs w:val="21"/>
        </w:rPr>
        <w:t>不同供应商的响应文件载明的项目管理成员或者联系人员为同一人；</w:t>
      </w:r>
    </w:p>
    <w:p>
      <w:pPr>
        <w:pStyle w:val="25"/>
        <w:widowControl/>
        <w:numPr>
          <w:ilvl w:val="2"/>
          <w:numId w:val="8"/>
        </w:numPr>
        <w:spacing w:line="360" w:lineRule="auto"/>
        <w:ind w:firstLineChars="0"/>
        <w:jc w:val="left"/>
        <w:rPr>
          <w:rFonts w:ascii="宋体" w:hAnsi="宋体"/>
          <w:color w:val="000000"/>
          <w:szCs w:val="21"/>
        </w:rPr>
      </w:pPr>
      <w:r>
        <w:rPr>
          <w:rFonts w:hint="eastAsia" w:ascii="宋体" w:hAnsi="宋体"/>
          <w:color w:val="000000"/>
          <w:szCs w:val="21"/>
        </w:rPr>
        <w:t>不同供应商的响应文件异常一致或者报价呈规律性差异；</w:t>
      </w:r>
    </w:p>
    <w:p>
      <w:pPr>
        <w:pStyle w:val="25"/>
        <w:widowControl/>
        <w:numPr>
          <w:ilvl w:val="2"/>
          <w:numId w:val="8"/>
        </w:numPr>
        <w:spacing w:line="360" w:lineRule="auto"/>
        <w:ind w:firstLineChars="0"/>
        <w:jc w:val="left"/>
        <w:rPr>
          <w:rFonts w:ascii="宋体" w:hAnsi="宋体"/>
          <w:color w:val="000000"/>
          <w:szCs w:val="21"/>
        </w:rPr>
      </w:pPr>
      <w:r>
        <w:rPr>
          <w:rFonts w:hint="eastAsia" w:ascii="宋体" w:hAnsi="宋体"/>
          <w:color w:val="000000"/>
          <w:szCs w:val="21"/>
        </w:rPr>
        <w:t>不同供应商的响应文件相互混淆；</w:t>
      </w:r>
    </w:p>
    <w:p>
      <w:pPr>
        <w:pStyle w:val="25"/>
        <w:widowControl/>
        <w:numPr>
          <w:ilvl w:val="2"/>
          <w:numId w:val="8"/>
        </w:numPr>
        <w:spacing w:line="360" w:lineRule="auto"/>
        <w:ind w:firstLineChars="0"/>
        <w:jc w:val="left"/>
        <w:rPr>
          <w:rFonts w:ascii="宋体" w:hAnsi="宋体"/>
          <w:color w:val="000000"/>
          <w:szCs w:val="21"/>
        </w:rPr>
      </w:pPr>
      <w:r>
        <w:rPr>
          <w:rFonts w:hint="eastAsia" w:ascii="宋体" w:hAnsi="宋体"/>
          <w:color w:val="000000"/>
          <w:szCs w:val="21"/>
        </w:rPr>
        <w:t>不同供应商的平台服务费从同一单位或者个人的账户转出；</w:t>
      </w:r>
    </w:p>
    <w:p>
      <w:pPr>
        <w:pStyle w:val="25"/>
        <w:numPr>
          <w:ilvl w:val="0"/>
          <w:numId w:val="2"/>
        </w:numPr>
        <w:spacing w:line="360" w:lineRule="auto"/>
        <w:ind w:firstLineChars="0"/>
        <w:rPr>
          <w:rFonts w:ascii="宋体" w:hAnsi="宋体"/>
          <w:color w:val="000000"/>
          <w:szCs w:val="21"/>
        </w:rPr>
      </w:pPr>
      <w:r>
        <w:rPr>
          <w:rFonts w:hint="eastAsia" w:ascii="宋体" w:hAnsi="宋体"/>
          <w:b/>
          <w:color w:val="000000"/>
          <w:szCs w:val="21"/>
        </w:rPr>
        <w:t>竞价活动失败</w:t>
      </w:r>
    </w:p>
    <w:p>
      <w:pPr>
        <w:pStyle w:val="25"/>
        <w:numPr>
          <w:ilvl w:val="0"/>
          <w:numId w:val="9"/>
        </w:numPr>
        <w:spacing w:line="360" w:lineRule="auto"/>
        <w:ind w:leftChars="200" w:firstLineChars="0"/>
        <w:rPr>
          <w:rFonts w:ascii="宋体" w:hAnsi="宋体"/>
          <w:color w:val="000000"/>
        </w:rPr>
      </w:pPr>
      <w:r>
        <w:rPr>
          <w:rFonts w:hint="eastAsia" w:ascii="宋体" w:hAnsi="宋体"/>
          <w:color w:val="000000"/>
          <w:szCs w:val="21"/>
        </w:rPr>
        <w:t>出现下列情况的，本次竞价活动失败：</w:t>
      </w:r>
    </w:p>
    <w:p>
      <w:pPr>
        <w:pStyle w:val="25"/>
        <w:numPr>
          <w:ilvl w:val="0"/>
          <w:numId w:val="10"/>
        </w:numPr>
        <w:spacing w:line="360" w:lineRule="auto"/>
        <w:ind w:left="945" w:leftChars="250" w:hangingChars="200"/>
        <w:rPr>
          <w:rFonts w:ascii="宋体" w:hAnsi="宋体"/>
          <w:color w:val="000000"/>
        </w:rPr>
      </w:pPr>
      <w:r>
        <w:rPr>
          <w:rFonts w:hint="eastAsia" w:ascii="宋体" w:hAnsi="宋体"/>
          <w:color w:val="000000"/>
        </w:rPr>
        <w:t>报名供应商不足3家；</w:t>
      </w:r>
    </w:p>
    <w:p>
      <w:pPr>
        <w:pStyle w:val="25"/>
        <w:numPr>
          <w:ilvl w:val="0"/>
          <w:numId w:val="10"/>
        </w:numPr>
        <w:spacing w:line="360" w:lineRule="auto"/>
        <w:ind w:left="945" w:leftChars="250" w:hangingChars="200"/>
        <w:rPr>
          <w:rFonts w:ascii="宋体" w:hAnsi="宋体"/>
          <w:color w:val="000000"/>
          <w:szCs w:val="21"/>
        </w:rPr>
      </w:pPr>
      <w:r>
        <w:rPr>
          <w:rFonts w:hint="eastAsia" w:ascii="宋体" w:hAnsi="宋体"/>
          <w:color w:val="000000"/>
        </w:rPr>
        <w:t>报价供应商不足3家。</w:t>
      </w:r>
    </w:p>
    <w:p>
      <w:pPr>
        <w:pStyle w:val="25"/>
        <w:numPr>
          <w:ilvl w:val="0"/>
          <w:numId w:val="9"/>
        </w:numPr>
        <w:spacing w:line="360" w:lineRule="auto"/>
        <w:ind w:firstLineChars="0"/>
        <w:rPr>
          <w:rFonts w:ascii="宋体" w:hAnsi="宋体"/>
          <w:color w:val="000000"/>
          <w:szCs w:val="21"/>
        </w:rPr>
      </w:pPr>
      <w:r>
        <w:rPr>
          <w:rFonts w:ascii="宋体" w:hAnsi="宋体"/>
          <w:color w:val="000000"/>
          <w:szCs w:val="21"/>
        </w:rPr>
        <w:t>出现影响采购公正的违法、违规行为的</w:t>
      </w:r>
      <w:r>
        <w:rPr>
          <w:rFonts w:hint="eastAsia" w:ascii="宋体" w:hAnsi="宋体"/>
          <w:color w:val="000000"/>
          <w:szCs w:val="21"/>
        </w:rPr>
        <w:t>；</w:t>
      </w:r>
    </w:p>
    <w:p>
      <w:pPr>
        <w:pStyle w:val="25"/>
        <w:numPr>
          <w:ilvl w:val="0"/>
          <w:numId w:val="9"/>
        </w:numPr>
        <w:spacing w:line="360" w:lineRule="auto"/>
        <w:ind w:firstLineChars="0"/>
        <w:rPr>
          <w:rFonts w:ascii="宋体" w:hAnsi="宋体"/>
          <w:color w:val="000000"/>
          <w:szCs w:val="21"/>
        </w:rPr>
      </w:pPr>
      <w:r>
        <w:rPr>
          <w:rFonts w:ascii="宋体" w:hAnsi="宋体"/>
          <w:color w:val="000000"/>
          <w:szCs w:val="21"/>
        </w:rPr>
        <w:t>因重大变故，采购任务取消的</w:t>
      </w:r>
      <w:r>
        <w:rPr>
          <w:rFonts w:hint="eastAsia" w:ascii="宋体" w:hAnsi="宋体"/>
          <w:color w:val="000000"/>
          <w:szCs w:val="21"/>
        </w:rPr>
        <w:t>；</w:t>
      </w:r>
    </w:p>
    <w:p>
      <w:pPr>
        <w:pStyle w:val="25"/>
        <w:numPr>
          <w:ilvl w:val="0"/>
          <w:numId w:val="2"/>
        </w:numPr>
        <w:spacing w:line="360" w:lineRule="auto"/>
        <w:ind w:firstLineChars="0"/>
        <w:rPr>
          <w:rFonts w:ascii="宋体" w:hAnsi="宋体"/>
          <w:b/>
          <w:color w:val="000000"/>
          <w:szCs w:val="21"/>
        </w:rPr>
      </w:pPr>
      <w:r>
        <w:rPr>
          <w:rFonts w:hint="eastAsia" w:ascii="宋体" w:hAnsi="宋体"/>
          <w:b/>
          <w:color w:val="000000"/>
          <w:szCs w:val="21"/>
        </w:rPr>
        <w:t>服务费</w:t>
      </w:r>
    </w:p>
    <w:p>
      <w:pPr>
        <w:pStyle w:val="25"/>
        <w:numPr>
          <w:ilvl w:val="0"/>
          <w:numId w:val="11"/>
        </w:numPr>
        <w:spacing w:line="360" w:lineRule="auto"/>
        <w:ind w:firstLineChars="0"/>
        <w:rPr>
          <w:rFonts w:ascii="宋体" w:hAnsi="宋体"/>
          <w:color w:val="000000"/>
          <w:szCs w:val="21"/>
        </w:rPr>
      </w:pPr>
      <w:r>
        <w:rPr>
          <w:rFonts w:hint="eastAsia" w:ascii="宋体" w:hAnsi="宋体"/>
          <w:color w:val="000000"/>
          <w:szCs w:val="21"/>
        </w:rPr>
        <w:t>成交供应商须向平台服务商</w:t>
      </w:r>
      <w:r>
        <w:rPr>
          <w:rFonts w:hint="eastAsia" w:ascii="宋体" w:hAnsi="宋体"/>
          <w:szCs w:val="21"/>
        </w:rPr>
        <w:t>云采链线上采购一体化平台</w:t>
      </w:r>
      <w:r>
        <w:rPr>
          <w:rFonts w:hint="eastAsia" w:ascii="宋体" w:hAnsi="宋体"/>
          <w:color w:val="000000"/>
          <w:szCs w:val="21"/>
        </w:rPr>
        <w:t>缴纳平台服务费，</w:t>
      </w:r>
      <w:r>
        <w:rPr>
          <w:rFonts w:hint="eastAsia" w:ascii="宋体" w:hAnsi="宋体"/>
          <w:color w:val="000000"/>
        </w:rPr>
        <w:t>金额为预算金额的1.5%</w:t>
      </w:r>
      <w:r>
        <w:rPr>
          <w:rFonts w:hint="eastAsia" w:ascii="宋体" w:hAnsi="宋体"/>
          <w:b/>
          <w:color w:val="000000"/>
        </w:rPr>
        <w:t>（四舍五入取整数）</w:t>
      </w:r>
      <w:r>
        <w:rPr>
          <w:rFonts w:hint="eastAsia" w:ascii="宋体" w:hAnsi="宋体"/>
          <w:color w:val="000000"/>
        </w:rPr>
        <w:t>；</w:t>
      </w:r>
    </w:p>
    <w:p>
      <w:pPr>
        <w:pStyle w:val="25"/>
        <w:numPr>
          <w:ilvl w:val="0"/>
          <w:numId w:val="11"/>
        </w:numPr>
        <w:spacing w:line="360" w:lineRule="auto"/>
        <w:ind w:firstLineChars="0"/>
        <w:rPr>
          <w:rFonts w:ascii="宋体" w:hAnsi="宋体"/>
          <w:color w:val="000000"/>
          <w:szCs w:val="21"/>
        </w:rPr>
      </w:pPr>
      <w:r>
        <w:rPr>
          <w:rFonts w:hint="eastAsia" w:ascii="宋体" w:hAnsi="宋体"/>
          <w:color w:val="000000"/>
          <w:szCs w:val="21"/>
        </w:rPr>
        <w:t>成交供应商无正当理由放弃成交资格的必须按竞价公告等相关规定缴纳相应的平台服务费；</w:t>
      </w:r>
    </w:p>
    <w:p>
      <w:pPr>
        <w:pStyle w:val="25"/>
        <w:numPr>
          <w:ilvl w:val="0"/>
          <w:numId w:val="11"/>
        </w:numPr>
        <w:spacing w:line="360" w:lineRule="auto"/>
        <w:ind w:firstLineChars="0"/>
        <w:rPr>
          <w:rFonts w:ascii="宋体" w:hAnsi="宋体"/>
          <w:color w:val="000000"/>
          <w:szCs w:val="21"/>
        </w:rPr>
      </w:pPr>
      <w:r>
        <w:rPr>
          <w:rFonts w:hint="eastAsia" w:ascii="宋体" w:hAnsi="宋体"/>
          <w:color w:val="000000"/>
          <w:szCs w:val="21"/>
        </w:rPr>
        <w:t>如确实因不可抗力放弃成交资格的，应在不可抗力发生后三个工作日内予以通知采购代理机构并提供相关的证明；如逾期，采购代理机构不予退还平台服务费；</w:t>
      </w:r>
    </w:p>
    <w:p>
      <w:pPr>
        <w:pStyle w:val="25"/>
        <w:numPr>
          <w:ilvl w:val="0"/>
          <w:numId w:val="1"/>
        </w:numPr>
        <w:spacing w:line="360" w:lineRule="auto"/>
        <w:ind w:firstLineChars="0"/>
        <w:rPr>
          <w:rFonts w:ascii="宋体" w:hAnsi="宋体"/>
          <w:b/>
          <w:color w:val="000000"/>
          <w:szCs w:val="21"/>
        </w:rPr>
      </w:pPr>
      <w:r>
        <w:rPr>
          <w:rFonts w:hint="eastAsia" w:ascii="宋体" w:hAnsi="宋体"/>
          <w:b/>
          <w:color w:val="000000"/>
          <w:szCs w:val="21"/>
        </w:rPr>
        <w:t>联系方式</w:t>
      </w:r>
    </w:p>
    <w:p>
      <w:pPr>
        <w:pStyle w:val="25"/>
        <w:widowControl/>
        <w:spacing w:line="360" w:lineRule="auto"/>
        <w:ind w:left="420" w:firstLine="0" w:firstLineChars="0"/>
        <w:jc w:val="left"/>
        <w:rPr>
          <w:rFonts w:ascii="宋体" w:hAnsi="宋体"/>
          <w:color w:val="000000"/>
          <w:szCs w:val="21"/>
        </w:rPr>
      </w:pPr>
      <w:r>
        <w:rPr>
          <w:rFonts w:ascii="宋体" w:hAnsi="宋体"/>
          <w:color w:val="000000"/>
          <w:szCs w:val="21"/>
        </w:rPr>
        <w:t>扫码关注微信公众号“云采链互联服务平台”，即可在线咨询相关事项</w:t>
      </w:r>
      <w:r>
        <w:rPr>
          <w:rFonts w:hint="eastAsia" w:ascii="宋体" w:hAnsi="宋体"/>
          <w:color w:val="000000"/>
          <w:szCs w:val="21"/>
        </w:rPr>
        <w:t>；</w:t>
      </w:r>
    </w:p>
    <w:p>
      <w:pPr>
        <w:pStyle w:val="25"/>
        <w:widowControl/>
        <w:spacing w:line="360" w:lineRule="auto"/>
        <w:ind w:left="420" w:firstLine="0" w:firstLineChars="0"/>
        <w:jc w:val="center"/>
        <w:rPr>
          <w:rFonts w:ascii="宋体" w:hAnsi="宋体"/>
          <w:b/>
          <w:color w:val="000000"/>
          <w:szCs w:val="21"/>
        </w:rPr>
      </w:pPr>
      <w:r>
        <w:rPr>
          <w:rFonts w:ascii="宋体" w:hAnsi="宋体"/>
          <w:color w:val="000000"/>
          <w:szCs w:val="21"/>
        </w:rPr>
        <w:pict>
          <v:shape id="_x0000_i1025" o:spt="75" type="#_x0000_t75" style="height:109.5pt;width:109.5pt;" filled="f" o:preferrelative="t" stroked="f" coordsize="21600,21600">
            <v:path/>
            <v:fill on="f" focussize="0,0"/>
            <v:stroke on="f" joinstyle="miter"/>
            <v:imagedata r:id="rId5" o:title=""/>
            <o:lock v:ext="edit" aspectratio="t"/>
            <w10:wrap type="none"/>
            <w10:anchorlock/>
          </v:shape>
        </w:pict>
      </w:r>
    </w:p>
    <w:p>
      <w:pPr>
        <w:pStyle w:val="17"/>
        <w:rPr>
          <w:rFonts w:ascii="宋体" w:hAnsi="宋体"/>
          <w:color w:val="000000"/>
          <w:sz w:val="36"/>
          <w:szCs w:val="36"/>
          <w:highlight w:val="lightGray"/>
        </w:rPr>
      </w:pPr>
      <w:r>
        <w:rPr>
          <w:rFonts w:ascii="宋体" w:hAnsi="宋体"/>
          <w:color w:val="000000"/>
          <w:sz w:val="21"/>
          <w:szCs w:val="21"/>
        </w:rPr>
        <w:br w:type="page"/>
      </w:r>
      <w:r>
        <w:rPr>
          <w:rFonts w:hint="eastAsia" w:ascii="宋体" w:hAnsi="宋体"/>
          <w:color w:val="000000"/>
          <w:sz w:val="36"/>
          <w:szCs w:val="36"/>
        </w:rPr>
        <w:t>第二章  用户需求书</w:t>
      </w:r>
    </w:p>
    <w:p>
      <w:pPr>
        <w:spacing w:line="360" w:lineRule="auto"/>
        <w:rPr>
          <w:rFonts w:ascii="宋体" w:hAnsi="宋体" w:cs="宋体"/>
          <w:b/>
          <w:bCs/>
          <w:color w:val="000000"/>
          <w:szCs w:val="21"/>
        </w:rPr>
      </w:pPr>
      <w:r>
        <w:rPr>
          <w:rFonts w:hint="eastAsia" w:ascii="宋体" w:hAnsi="宋体" w:cs="宋体"/>
          <w:b/>
          <w:bCs/>
          <w:color w:val="000000"/>
          <w:szCs w:val="21"/>
        </w:rPr>
        <w:t>说明：</w:t>
      </w:r>
    </w:p>
    <w:p>
      <w:pPr>
        <w:tabs>
          <w:tab w:val="left" w:pos="420"/>
        </w:tabs>
        <w:spacing w:line="360" w:lineRule="auto"/>
        <w:rPr>
          <w:rFonts w:ascii="宋体" w:hAnsi="宋体" w:cs="宋体"/>
          <w:b/>
          <w:bCs/>
          <w:color w:val="000000"/>
          <w:szCs w:val="21"/>
        </w:rPr>
      </w:pPr>
      <w:r>
        <w:rPr>
          <w:rFonts w:ascii="宋体" w:hAnsi="宋体" w:cs="宋体"/>
          <w:b/>
          <w:bCs/>
          <w:color w:val="000000"/>
          <w:szCs w:val="21"/>
        </w:rPr>
        <w:t>1.</w:t>
      </w:r>
      <w:r>
        <w:rPr>
          <w:rFonts w:ascii="宋体" w:hAnsi="宋体" w:cs="宋体"/>
          <w:b/>
          <w:bCs/>
          <w:color w:val="000000"/>
          <w:szCs w:val="21"/>
        </w:rPr>
        <w:tab/>
      </w:r>
      <w:r>
        <w:rPr>
          <w:rFonts w:hint="eastAsia" w:ascii="宋体" w:hAnsi="宋体" w:cs="宋体"/>
          <w:b/>
          <w:bCs/>
          <w:color w:val="000000"/>
          <w:szCs w:val="21"/>
        </w:rPr>
        <w:t>响应供应商须对本项目进行整体响应，任何只对其中一部分进行的响应都被视为无效响应。</w:t>
      </w:r>
      <w:r>
        <w:rPr>
          <w:rFonts w:ascii="宋体" w:hAnsi="宋体" w:cs="宋体"/>
          <w:b/>
          <w:bCs/>
          <w:color w:val="000000"/>
          <w:szCs w:val="21"/>
        </w:rPr>
        <w:t xml:space="preserve"> </w:t>
      </w:r>
    </w:p>
    <w:p>
      <w:pPr>
        <w:pStyle w:val="11"/>
        <w:numPr>
          <w:ilvl w:val="0"/>
          <w:numId w:val="12"/>
        </w:numPr>
        <w:tabs>
          <w:tab w:val="left" w:pos="540"/>
        </w:tabs>
        <w:adjustRightInd w:val="0"/>
        <w:snapToGrid w:val="0"/>
        <w:spacing w:line="360" w:lineRule="auto"/>
        <w:ind w:left="0" w:firstLine="0"/>
        <w:rPr>
          <w:rFonts w:hAnsi="宋体" w:cs="黑体"/>
          <w:b/>
          <w:color w:val="000000"/>
          <w:sz w:val="21"/>
        </w:rPr>
      </w:pPr>
      <w:r>
        <w:rPr>
          <w:rFonts w:hint="eastAsia" w:hAnsi="宋体" w:cs="黑体"/>
          <w:b/>
          <w:color w:val="000000"/>
          <w:sz w:val="21"/>
        </w:rPr>
        <w:t>项目一览表</w:t>
      </w:r>
    </w:p>
    <w:tbl>
      <w:tblPr>
        <w:tblStyle w:val="23"/>
        <w:tblW w:w="852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83"/>
        <w:gridCol w:w="1599"/>
        <w:gridCol w:w="1999"/>
        <w:gridCol w:w="24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63" w:hRule="atLeast"/>
          <w:jc w:val="center"/>
        </w:trPr>
        <w:tc>
          <w:tcPr>
            <w:tcW w:w="2483" w:type="dxa"/>
            <w:tcBorders>
              <w:top w:val="single" w:color="auto" w:sz="12" w:space="0"/>
              <w:left w:val="single" w:color="auto" w:sz="12" w:space="0"/>
              <w:bottom w:val="single" w:color="auto" w:sz="4" w:space="0"/>
              <w:right w:val="single" w:color="auto" w:sz="4" w:space="0"/>
            </w:tcBorders>
            <w:shd w:val="clear" w:color="auto" w:fill="EEECE1"/>
            <w:vAlign w:val="center"/>
          </w:tcPr>
          <w:p>
            <w:pPr>
              <w:spacing w:line="360" w:lineRule="auto"/>
              <w:jc w:val="center"/>
              <w:rPr>
                <w:rFonts w:ascii="宋体" w:hAnsi="宋体"/>
                <w:b/>
                <w:color w:val="000000"/>
                <w:szCs w:val="21"/>
              </w:rPr>
            </w:pPr>
            <w:r>
              <w:rPr>
                <w:rFonts w:hint="eastAsia" w:ascii="宋体" w:hAnsi="宋体"/>
                <w:b/>
                <w:color w:val="000000"/>
              </w:rPr>
              <w:t>项目名称</w:t>
            </w:r>
          </w:p>
        </w:tc>
        <w:tc>
          <w:tcPr>
            <w:tcW w:w="1599" w:type="dxa"/>
            <w:tcBorders>
              <w:top w:val="single" w:color="auto" w:sz="12" w:space="0"/>
              <w:left w:val="single" w:color="auto" w:sz="4" w:space="0"/>
              <w:bottom w:val="single" w:color="auto" w:sz="4" w:space="0"/>
              <w:right w:val="single" w:color="auto" w:sz="4" w:space="0"/>
            </w:tcBorders>
            <w:shd w:val="clear" w:color="auto" w:fill="EEECE1"/>
            <w:vAlign w:val="center"/>
          </w:tcPr>
          <w:p>
            <w:pPr>
              <w:spacing w:line="360" w:lineRule="auto"/>
              <w:jc w:val="center"/>
              <w:rPr>
                <w:rFonts w:ascii="宋体" w:hAnsi="宋体"/>
                <w:b/>
                <w:color w:val="000000"/>
              </w:rPr>
            </w:pPr>
            <w:r>
              <w:rPr>
                <w:rFonts w:hint="eastAsia" w:ascii="宋体" w:hAnsi="宋体"/>
                <w:b/>
                <w:color w:val="000000"/>
              </w:rPr>
              <w:t>数量</w:t>
            </w:r>
          </w:p>
        </w:tc>
        <w:tc>
          <w:tcPr>
            <w:tcW w:w="1999" w:type="dxa"/>
            <w:tcBorders>
              <w:top w:val="single" w:color="auto" w:sz="12" w:space="0"/>
              <w:left w:val="single" w:color="auto" w:sz="4" w:space="0"/>
              <w:bottom w:val="single" w:color="auto" w:sz="4" w:space="0"/>
              <w:right w:val="single" w:color="auto" w:sz="4" w:space="0"/>
            </w:tcBorders>
            <w:shd w:val="clear" w:color="auto" w:fill="EEECE1"/>
            <w:vAlign w:val="center"/>
          </w:tcPr>
          <w:p>
            <w:pPr>
              <w:spacing w:line="360" w:lineRule="auto"/>
              <w:jc w:val="center"/>
              <w:rPr>
                <w:rFonts w:ascii="宋体" w:hAnsi="宋体"/>
                <w:b/>
                <w:bCs/>
                <w:color w:val="000000"/>
              </w:rPr>
            </w:pPr>
            <w:r>
              <w:rPr>
                <w:rFonts w:hint="eastAsia" w:ascii="宋体" w:hAnsi="宋体"/>
                <w:b/>
                <w:bCs/>
                <w:color w:val="000000"/>
              </w:rPr>
              <w:t>合同期</w:t>
            </w:r>
          </w:p>
        </w:tc>
        <w:tc>
          <w:tcPr>
            <w:tcW w:w="2441" w:type="dxa"/>
            <w:tcBorders>
              <w:top w:val="single" w:color="auto" w:sz="12" w:space="0"/>
              <w:left w:val="single" w:color="auto" w:sz="4" w:space="0"/>
              <w:bottom w:val="single" w:color="auto" w:sz="4" w:space="0"/>
              <w:right w:val="single" w:color="auto" w:sz="12" w:space="0"/>
            </w:tcBorders>
            <w:shd w:val="clear" w:color="auto" w:fill="EEECE1"/>
            <w:vAlign w:val="center"/>
          </w:tcPr>
          <w:p>
            <w:pPr>
              <w:spacing w:line="360" w:lineRule="auto"/>
              <w:jc w:val="center"/>
              <w:rPr>
                <w:rFonts w:ascii="宋体" w:hAnsi="宋体"/>
                <w:b/>
                <w:color w:val="000000"/>
              </w:rPr>
            </w:pPr>
            <w:r>
              <w:rPr>
                <w:rFonts w:hint="eastAsia" w:ascii="宋体" w:hAnsi="宋体"/>
                <w:b/>
                <w:color w:val="000000"/>
              </w:rPr>
              <w:t>预算金额（元）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2483" w:type="dxa"/>
            <w:tcBorders>
              <w:top w:val="single" w:color="auto" w:sz="4" w:space="0"/>
              <w:left w:val="single" w:color="auto" w:sz="12" w:space="0"/>
              <w:bottom w:val="single" w:color="auto" w:sz="12" w:space="0"/>
              <w:right w:val="single" w:color="auto" w:sz="4" w:space="0"/>
            </w:tcBorders>
            <w:vAlign w:val="center"/>
          </w:tcPr>
          <w:p>
            <w:pPr>
              <w:spacing w:line="360" w:lineRule="auto"/>
              <w:jc w:val="center"/>
              <w:rPr>
                <w:rFonts w:ascii="宋体" w:hAnsi="宋体"/>
                <w:bCs/>
                <w:color w:val="000000"/>
              </w:rPr>
            </w:pPr>
            <w:r>
              <w:rPr>
                <w:rFonts w:hint="eastAsia" w:ascii="宋体" w:hAnsi="宋体"/>
                <w:bCs/>
                <w:color w:val="000000"/>
              </w:rPr>
              <w:t>广东省阳春监狱2024年度办公耗材采购项目</w:t>
            </w:r>
          </w:p>
        </w:tc>
        <w:tc>
          <w:tcPr>
            <w:tcW w:w="1599" w:type="dxa"/>
            <w:tcBorders>
              <w:top w:val="single" w:color="auto" w:sz="4" w:space="0"/>
              <w:left w:val="single" w:color="auto" w:sz="4" w:space="0"/>
              <w:bottom w:val="single" w:color="auto" w:sz="12" w:space="0"/>
              <w:right w:val="single" w:color="auto" w:sz="4" w:space="0"/>
            </w:tcBorders>
            <w:vAlign w:val="center"/>
          </w:tcPr>
          <w:p>
            <w:pPr>
              <w:spacing w:line="360" w:lineRule="auto"/>
              <w:jc w:val="center"/>
              <w:rPr>
                <w:rFonts w:ascii="宋体" w:hAnsi="宋体"/>
                <w:bCs/>
                <w:color w:val="000000"/>
              </w:rPr>
            </w:pPr>
            <w:r>
              <w:rPr>
                <w:rFonts w:hint="eastAsia" w:ascii="宋体" w:hAnsi="宋体"/>
                <w:bCs/>
                <w:color w:val="000000"/>
              </w:rPr>
              <w:t>按需</w:t>
            </w:r>
          </w:p>
        </w:tc>
        <w:tc>
          <w:tcPr>
            <w:tcW w:w="1999" w:type="dxa"/>
            <w:tcBorders>
              <w:top w:val="single" w:color="auto" w:sz="4" w:space="0"/>
              <w:left w:val="single" w:color="auto" w:sz="4" w:space="0"/>
              <w:bottom w:val="single" w:color="auto" w:sz="12"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1年</w:t>
            </w:r>
          </w:p>
        </w:tc>
        <w:tc>
          <w:tcPr>
            <w:tcW w:w="2441" w:type="dxa"/>
            <w:tcBorders>
              <w:top w:val="single" w:color="auto" w:sz="4" w:space="0"/>
              <w:left w:val="single" w:color="auto" w:sz="4" w:space="0"/>
              <w:bottom w:val="single" w:color="auto" w:sz="12" w:space="0"/>
              <w:right w:val="single" w:color="auto" w:sz="12" w:space="0"/>
            </w:tcBorders>
            <w:vAlign w:val="center"/>
          </w:tcPr>
          <w:p>
            <w:pPr>
              <w:pStyle w:val="27"/>
              <w:spacing w:before="0" w:after="0" w:line="360" w:lineRule="auto"/>
              <w:rPr>
                <w:rFonts w:ascii="宋体" w:hAnsi="宋体"/>
                <w:color w:val="000000"/>
                <w:spacing w:val="0"/>
                <w:kern w:val="2"/>
                <w:sz w:val="21"/>
                <w:szCs w:val="21"/>
              </w:rPr>
            </w:pPr>
            <w:r>
              <w:rPr>
                <w:rFonts w:hint="eastAsia" w:ascii="宋体" w:hAnsi="宋体"/>
                <w:color w:val="000000"/>
                <w:spacing w:val="0"/>
                <w:kern w:val="2"/>
                <w:sz w:val="21"/>
                <w:szCs w:val="21"/>
              </w:rPr>
              <w:t>人民币</w:t>
            </w:r>
            <w:r>
              <w:rPr>
                <w:rFonts w:hint="eastAsia" w:ascii="宋体" w:hAnsi="宋体"/>
                <w:color w:val="000000"/>
                <w:kern w:val="2"/>
                <w:sz w:val="21"/>
                <w:szCs w:val="21"/>
                <w:u w:val="single"/>
              </w:rPr>
              <w:t>180000</w:t>
            </w:r>
            <w:r>
              <w:rPr>
                <w:rFonts w:hint="eastAsia" w:ascii="宋体" w:hAnsi="宋体"/>
                <w:color w:val="000000"/>
                <w:spacing w:val="0"/>
                <w:kern w:val="2"/>
                <w:sz w:val="21"/>
                <w:szCs w:val="21"/>
              </w:rPr>
              <w:t>元</w:t>
            </w:r>
          </w:p>
        </w:tc>
      </w:tr>
    </w:tbl>
    <w:p>
      <w:pPr>
        <w:spacing w:line="360" w:lineRule="auto"/>
        <w:rPr>
          <w:rFonts w:ascii="宋体" w:hAnsi="宋体"/>
          <w:b/>
          <w:bCs/>
          <w:color w:val="000000"/>
          <w:szCs w:val="21"/>
        </w:rPr>
      </w:pPr>
      <w:r>
        <w:rPr>
          <w:rFonts w:hint="eastAsia" w:ascii="宋体" w:hAnsi="宋体"/>
          <w:b/>
          <w:bCs/>
          <w:color w:val="000000"/>
        </w:rPr>
        <w:t>合同期为2024年1月至2024年12月止或达到采购预算金额为止。</w:t>
      </w:r>
    </w:p>
    <w:p>
      <w:pPr>
        <w:pStyle w:val="11"/>
        <w:numPr>
          <w:ilvl w:val="0"/>
          <w:numId w:val="12"/>
        </w:numPr>
        <w:tabs>
          <w:tab w:val="left" w:pos="540"/>
        </w:tabs>
        <w:adjustRightInd w:val="0"/>
        <w:snapToGrid w:val="0"/>
        <w:spacing w:line="360" w:lineRule="auto"/>
        <w:ind w:left="0" w:firstLine="0"/>
        <w:rPr>
          <w:rFonts w:hAnsi="宋体"/>
          <w:b/>
          <w:bCs/>
          <w:color w:val="000000"/>
          <w:sz w:val="21"/>
        </w:rPr>
      </w:pPr>
      <w:r>
        <w:rPr>
          <w:rFonts w:hint="eastAsia" w:hAnsi="宋体" w:cs="黑体"/>
          <w:b/>
          <w:color w:val="000000"/>
          <w:sz w:val="21"/>
        </w:rPr>
        <w:t>项目</w:t>
      </w:r>
      <w:r>
        <w:rPr>
          <w:rFonts w:hint="eastAsia" w:hAnsi="宋体"/>
          <w:b/>
          <w:bCs/>
          <w:color w:val="000000"/>
          <w:sz w:val="21"/>
        </w:rPr>
        <w:t>报名资格条件</w:t>
      </w:r>
    </w:p>
    <w:p>
      <w:pPr>
        <w:pStyle w:val="29"/>
        <w:widowControl/>
        <w:numPr>
          <w:ilvl w:val="0"/>
          <w:numId w:val="13"/>
        </w:numPr>
        <w:spacing w:line="360" w:lineRule="auto"/>
        <w:ind w:firstLine="0" w:firstLineChars="0"/>
        <w:jc w:val="left"/>
        <w:rPr>
          <w:rFonts w:ascii="宋体" w:hAnsi="宋体"/>
          <w:kern w:val="0"/>
          <w:szCs w:val="21"/>
        </w:rPr>
      </w:pPr>
      <w:r>
        <w:rPr>
          <w:rFonts w:hint="eastAsia" w:ascii="宋体" w:hAnsi="宋体"/>
          <w:kern w:val="0"/>
        </w:rPr>
        <w:t>具有独立承担民事责任的在中华人民共和国境内注册的法人或其他组织（提供法人或其他组织的营业执照等证明材料）；</w:t>
      </w:r>
    </w:p>
    <w:p>
      <w:pPr>
        <w:pStyle w:val="29"/>
        <w:widowControl/>
        <w:numPr>
          <w:ilvl w:val="0"/>
          <w:numId w:val="13"/>
        </w:numPr>
        <w:spacing w:line="360" w:lineRule="auto"/>
        <w:ind w:firstLine="0" w:firstLineChars="0"/>
        <w:jc w:val="left"/>
        <w:rPr>
          <w:rFonts w:ascii="宋体" w:hAnsi="宋体"/>
          <w:kern w:val="0"/>
        </w:rPr>
      </w:pPr>
      <w:r>
        <w:rPr>
          <w:rFonts w:hint="eastAsia" w:ascii="宋体" w:hAnsi="宋体"/>
          <w:kern w:val="0"/>
        </w:rPr>
        <w:t>本项目不接受联合体供应商，不允许转包、分包。供应商须提供供应商资格声明函</w:t>
      </w:r>
      <w:r>
        <w:rPr>
          <w:rFonts w:hint="eastAsia" w:ascii="宋体" w:hAnsi="宋体"/>
          <w:b/>
          <w:bCs/>
          <w:kern w:val="0"/>
        </w:rPr>
        <w:t>；</w:t>
      </w:r>
    </w:p>
    <w:p>
      <w:pPr>
        <w:pStyle w:val="29"/>
        <w:widowControl/>
        <w:numPr>
          <w:ilvl w:val="0"/>
          <w:numId w:val="13"/>
        </w:numPr>
        <w:spacing w:line="360" w:lineRule="auto"/>
        <w:ind w:firstLine="0" w:firstLineChars="0"/>
        <w:jc w:val="left"/>
        <w:rPr>
          <w:rFonts w:ascii="宋体" w:hAnsi="宋体"/>
          <w:b/>
          <w:kern w:val="0"/>
        </w:rPr>
      </w:pPr>
      <w:r>
        <w:rPr>
          <w:rFonts w:hint="eastAsia" w:ascii="宋体" w:hAnsi="宋体"/>
          <w:kern w:val="0"/>
        </w:rPr>
        <w:t>供应商完全响应本项目用户需求的条款、内容及要求的，提供用户需求书响应声明函即可</w:t>
      </w:r>
      <w:r>
        <w:rPr>
          <w:rFonts w:hint="eastAsia" w:ascii="宋体" w:hAnsi="宋体"/>
          <w:b/>
          <w:kern w:val="0"/>
        </w:rPr>
        <w:t>；</w:t>
      </w:r>
    </w:p>
    <w:p>
      <w:pPr>
        <w:pStyle w:val="29"/>
        <w:widowControl/>
        <w:numPr>
          <w:ilvl w:val="0"/>
          <w:numId w:val="13"/>
        </w:numPr>
        <w:spacing w:line="360" w:lineRule="auto"/>
        <w:ind w:firstLine="0" w:firstLineChars="0"/>
        <w:jc w:val="left"/>
        <w:rPr>
          <w:rFonts w:ascii="宋体" w:hAnsi="宋体"/>
          <w:kern w:val="0"/>
        </w:rPr>
      </w:pPr>
      <w:r>
        <w:rPr>
          <w:rFonts w:hint="eastAsia" w:ascii="宋体" w:hAnsi="宋体"/>
          <w:kern w:val="0"/>
        </w:rPr>
        <w:t>经办人如是法定代表人，需提供法定代表人证明书；经办人如是供应商授权代表，需提供法定代表人授权委托书和法定代表人证明书。</w:t>
      </w:r>
    </w:p>
    <w:p>
      <w:pPr>
        <w:pStyle w:val="11"/>
        <w:numPr>
          <w:ilvl w:val="0"/>
          <w:numId w:val="12"/>
        </w:numPr>
        <w:tabs>
          <w:tab w:val="left" w:pos="540"/>
        </w:tabs>
        <w:adjustRightInd w:val="0"/>
        <w:snapToGrid w:val="0"/>
        <w:spacing w:line="360" w:lineRule="auto"/>
        <w:ind w:left="0" w:firstLine="0"/>
        <w:rPr>
          <w:rFonts w:hAnsi="宋体"/>
          <w:b/>
          <w:bCs/>
          <w:color w:val="000000"/>
          <w:sz w:val="21"/>
        </w:rPr>
      </w:pPr>
      <w:r>
        <w:rPr>
          <w:rFonts w:hint="eastAsia" w:hAnsi="宋体"/>
          <w:b/>
          <w:bCs/>
          <w:color w:val="000000"/>
          <w:sz w:val="21"/>
        </w:rPr>
        <w:t>采购清单</w:t>
      </w:r>
    </w:p>
    <w:p>
      <w:pPr>
        <w:pStyle w:val="2"/>
        <w:spacing w:line="360" w:lineRule="auto"/>
        <w:rPr>
          <w:rFonts w:ascii="宋体" w:hAnsi="宋体"/>
          <w:b/>
          <w:bCs/>
          <w:color w:val="000000"/>
          <w:szCs w:val="21"/>
        </w:rPr>
      </w:pPr>
      <w:r>
        <w:rPr>
          <w:rFonts w:hint="eastAsia" w:ascii="宋体" w:hAnsi="宋体"/>
          <w:b/>
          <w:bCs/>
          <w:color w:val="000000"/>
        </w:rPr>
        <w:t xml:space="preserve">     详见附件1、附件2</w:t>
      </w:r>
    </w:p>
    <w:p>
      <w:pPr>
        <w:pStyle w:val="11"/>
        <w:numPr>
          <w:ilvl w:val="0"/>
          <w:numId w:val="12"/>
        </w:numPr>
        <w:tabs>
          <w:tab w:val="left" w:pos="540"/>
        </w:tabs>
        <w:adjustRightInd w:val="0"/>
        <w:snapToGrid w:val="0"/>
        <w:spacing w:line="360" w:lineRule="auto"/>
        <w:ind w:left="0" w:firstLine="0"/>
        <w:rPr>
          <w:rFonts w:hAnsi="宋体"/>
          <w:b/>
          <w:bCs/>
          <w:color w:val="000000"/>
          <w:sz w:val="21"/>
        </w:rPr>
      </w:pPr>
      <w:r>
        <w:rPr>
          <w:rFonts w:hint="eastAsia" w:hAnsi="宋体"/>
          <w:b/>
          <w:bCs/>
          <w:color w:val="000000"/>
          <w:sz w:val="21"/>
        </w:rPr>
        <w:t>办公用品采购要求</w:t>
      </w:r>
    </w:p>
    <w:p>
      <w:pPr>
        <w:numPr>
          <w:ilvl w:val="0"/>
          <w:numId w:val="14"/>
        </w:numPr>
        <w:spacing w:line="360" w:lineRule="auto"/>
        <w:ind w:left="0" w:firstLine="0"/>
      </w:pPr>
      <w:r>
        <w:rPr>
          <w:rFonts w:hint="eastAsia" w:ascii="宋体" w:hAnsi="宋体"/>
          <w:color w:val="000000"/>
        </w:rPr>
        <w:t>成交价包含：</w:t>
      </w:r>
      <w:bookmarkStart w:id="1" w:name="_GoBack"/>
      <w:bookmarkEnd w:id="1"/>
      <w:r>
        <w:rPr>
          <w:rFonts w:hint="eastAsia"/>
          <w:lang w:val="en-US" w:eastAsia="zh-CN"/>
        </w:rPr>
        <w:t>采购清单货物、税费、运输、物流等费用。</w:t>
      </w:r>
    </w:p>
    <w:p>
      <w:pPr>
        <w:numPr>
          <w:ilvl w:val="0"/>
          <w:numId w:val="14"/>
        </w:numPr>
        <w:spacing w:line="360" w:lineRule="auto"/>
        <w:ind w:left="0" w:firstLine="0"/>
        <w:rPr>
          <w:rFonts w:ascii="宋体" w:hAnsi="宋体"/>
          <w:color w:val="000000"/>
        </w:rPr>
      </w:pPr>
      <w:r>
        <w:rPr>
          <w:rFonts w:hint="eastAsia" w:ascii="宋体" w:hAnsi="宋体"/>
          <w:color w:val="000000"/>
        </w:rPr>
        <w:t>供应商必须具有满足为项目中所有货物供货的能力（包括货物的取得、保管、配送、运输等）。</w:t>
      </w:r>
    </w:p>
    <w:p>
      <w:pPr>
        <w:numPr>
          <w:ilvl w:val="0"/>
          <w:numId w:val="14"/>
        </w:numPr>
        <w:spacing w:line="360" w:lineRule="auto"/>
        <w:ind w:left="0" w:firstLine="0"/>
        <w:rPr>
          <w:rFonts w:ascii="宋体" w:hAnsi="宋体"/>
          <w:color w:val="000000"/>
        </w:rPr>
      </w:pPr>
      <w:r>
        <w:rPr>
          <w:rFonts w:hint="eastAsia" w:ascii="宋体" w:hAnsi="宋体"/>
          <w:color w:val="000000"/>
        </w:rPr>
        <w:t>成交供应商不得以任何方式转包或分包本项目。</w:t>
      </w:r>
    </w:p>
    <w:p>
      <w:pPr>
        <w:numPr>
          <w:ilvl w:val="0"/>
          <w:numId w:val="14"/>
        </w:numPr>
        <w:spacing w:line="360" w:lineRule="auto"/>
        <w:ind w:left="0" w:firstLine="0"/>
        <w:rPr>
          <w:rFonts w:ascii="宋体" w:hAnsi="宋体"/>
          <w:color w:val="000000"/>
        </w:rPr>
      </w:pPr>
      <w:r>
        <w:rPr>
          <w:rFonts w:hint="eastAsia" w:ascii="宋体" w:hAnsi="宋体"/>
          <w:color w:val="000000"/>
        </w:rPr>
        <w:t>实际采购中，采购方将按核定的单价金额进行支付，协议供货商不得拒绝供货或提高单价，供货数量由采购方根据实际需要提出。</w:t>
      </w:r>
    </w:p>
    <w:p>
      <w:pPr>
        <w:numPr>
          <w:ilvl w:val="0"/>
          <w:numId w:val="14"/>
        </w:numPr>
        <w:spacing w:line="360" w:lineRule="auto"/>
        <w:ind w:left="0" w:firstLine="0"/>
        <w:rPr>
          <w:rFonts w:ascii="宋体" w:hAnsi="宋体"/>
          <w:color w:val="000000"/>
        </w:rPr>
      </w:pPr>
      <w:r>
        <w:rPr>
          <w:rFonts w:hint="eastAsia" w:ascii="宋体" w:hAnsi="宋体"/>
          <w:color w:val="000000"/>
        </w:rPr>
        <w:t>供应商必须承诺提供厂商原装、全新的、符合用户提出的有关质量标准的货物。</w:t>
      </w:r>
    </w:p>
    <w:p>
      <w:pPr>
        <w:numPr>
          <w:ilvl w:val="0"/>
          <w:numId w:val="14"/>
        </w:numPr>
        <w:spacing w:line="360" w:lineRule="auto"/>
        <w:ind w:left="0" w:firstLine="0"/>
        <w:rPr>
          <w:rFonts w:ascii="宋体" w:hAnsi="宋体"/>
          <w:color w:val="000000"/>
        </w:rPr>
      </w:pPr>
      <w:r>
        <w:rPr>
          <w:rFonts w:hint="eastAsia" w:ascii="宋体" w:hAnsi="宋体"/>
          <w:color w:val="000000"/>
        </w:rPr>
        <w:t>供应商应严格按采购人要求（品牌、品种、规格、质量、数量、重量等）供应货物，未经采购人同意，不得变更，否则，采购人有权退货并自行采购同等质量的货物，由此产生的费用和经济损失均由供应商承担，供应商还同时承担违约责任。</w:t>
      </w:r>
    </w:p>
    <w:p>
      <w:pPr>
        <w:numPr>
          <w:ilvl w:val="0"/>
          <w:numId w:val="14"/>
        </w:numPr>
        <w:spacing w:line="360" w:lineRule="auto"/>
        <w:ind w:left="0" w:firstLine="0"/>
        <w:rPr>
          <w:rFonts w:ascii="宋体" w:hAnsi="宋体"/>
          <w:bCs/>
          <w:color w:val="000000"/>
        </w:rPr>
      </w:pPr>
      <w:r>
        <w:rPr>
          <w:rFonts w:hint="eastAsia" w:ascii="宋体" w:hAnsi="宋体"/>
          <w:color w:val="000000"/>
        </w:rPr>
        <w:t>采购人对不符合要求的货物，供应商必须无条件退货或更换。因供应商供应不合格的、假冒伪劣、以次充好的商品而造成采购人安全事故的，马上终止合同并追究相关法律责任。</w:t>
      </w:r>
    </w:p>
    <w:p>
      <w:pPr>
        <w:numPr>
          <w:ilvl w:val="0"/>
          <w:numId w:val="14"/>
        </w:numPr>
        <w:spacing w:line="360" w:lineRule="auto"/>
        <w:ind w:left="0" w:firstLine="0"/>
        <w:rPr>
          <w:rFonts w:ascii="宋体" w:hAnsi="宋体"/>
          <w:bCs/>
          <w:color w:val="000000"/>
        </w:rPr>
      </w:pPr>
      <w:r>
        <w:rPr>
          <w:rFonts w:hint="eastAsia" w:ascii="宋体" w:hAnsi="宋体"/>
          <w:bCs/>
          <w:color w:val="000000"/>
        </w:rPr>
        <w:t>未在采购清单内的商品，如需采购的，</w:t>
      </w:r>
      <w:r>
        <w:rPr>
          <w:rFonts w:hint="eastAsia" w:ascii="宋体" w:hAnsi="宋体"/>
          <w:bCs/>
        </w:rPr>
        <w:t>最高限价以</w:t>
      </w:r>
      <w:r>
        <w:rPr>
          <w:rFonts w:hint="eastAsia" w:ascii="宋体" w:hAnsi="宋体"/>
          <w:b/>
        </w:rPr>
        <w:t>京东旗舰店</w:t>
      </w:r>
      <w:r>
        <w:rPr>
          <w:rFonts w:hint="eastAsia" w:ascii="宋体" w:hAnsi="宋体"/>
          <w:bCs/>
          <w:color w:val="000000"/>
        </w:rPr>
        <w:t>价格为参考，双方协商一致后采购。</w:t>
      </w:r>
    </w:p>
    <w:p>
      <w:pPr>
        <w:numPr>
          <w:ilvl w:val="0"/>
          <w:numId w:val="14"/>
        </w:numPr>
        <w:spacing w:line="360" w:lineRule="auto"/>
        <w:ind w:left="0" w:firstLine="0"/>
        <w:rPr>
          <w:rFonts w:ascii="宋体" w:hAnsi="宋体"/>
          <w:bCs/>
          <w:color w:val="000000"/>
        </w:rPr>
      </w:pPr>
      <w:r>
        <w:rPr>
          <w:rFonts w:hint="eastAsia" w:ascii="宋体" w:hAnsi="宋体"/>
          <w:bCs/>
          <w:color w:val="000000"/>
        </w:rPr>
        <w:t>交货（服务）地点：广东省阳春监狱。</w:t>
      </w:r>
    </w:p>
    <w:p>
      <w:pPr>
        <w:pStyle w:val="2"/>
        <w:numPr>
          <w:ilvl w:val="0"/>
          <w:numId w:val="15"/>
        </w:numPr>
        <w:spacing w:line="360" w:lineRule="auto"/>
        <w:rPr>
          <w:rFonts w:ascii="宋体" w:hAnsi="宋体"/>
          <w:b/>
          <w:color w:val="000000"/>
        </w:rPr>
      </w:pPr>
      <w:r>
        <w:rPr>
          <w:rFonts w:hint="eastAsia" w:ascii="宋体" w:hAnsi="宋体"/>
          <w:b/>
          <w:color w:val="000000"/>
        </w:rPr>
        <w:t>付款方式</w:t>
      </w:r>
    </w:p>
    <w:p>
      <w:pPr>
        <w:numPr>
          <w:ilvl w:val="0"/>
          <w:numId w:val="16"/>
        </w:numPr>
        <w:snapToGrid w:val="0"/>
        <w:spacing w:line="360" w:lineRule="auto"/>
        <w:ind w:left="0" w:firstLine="0"/>
        <w:jc w:val="left"/>
        <w:rPr>
          <w:rFonts w:ascii="宋体" w:hAnsi="宋体"/>
        </w:rPr>
      </w:pPr>
      <w:r>
        <w:rPr>
          <w:rFonts w:hint="eastAsia" w:ascii="宋体" w:hAnsi="宋体"/>
          <w:color w:val="000000"/>
        </w:rPr>
        <w:t xml:space="preserve">由采购人按下列程序付款： </w:t>
      </w:r>
    </w:p>
    <w:p>
      <w:pPr>
        <w:numPr>
          <w:ilvl w:val="0"/>
          <w:numId w:val="17"/>
        </w:numPr>
        <w:autoSpaceDE w:val="0"/>
        <w:autoSpaceDN w:val="0"/>
        <w:adjustRightInd w:val="0"/>
        <w:snapToGrid w:val="0"/>
        <w:spacing w:line="360" w:lineRule="auto"/>
        <w:ind w:left="0" w:firstLine="0"/>
        <w:rPr>
          <w:rFonts w:ascii="宋体" w:hAnsi="宋体"/>
          <w:color w:val="000000"/>
        </w:rPr>
      </w:pPr>
      <w:r>
        <w:rPr>
          <w:rFonts w:hint="eastAsia" w:ascii="宋体" w:hAnsi="宋体"/>
          <w:color w:val="000000"/>
        </w:rPr>
        <w:t>合同期为1年，按实际采购量结算，结算金额为∑（各项产品最高限价*（1-成交下浮率）*数量）。</w:t>
      </w:r>
      <w:r>
        <w:rPr>
          <w:rFonts w:hint="eastAsia" w:ascii="宋体" w:hAnsi="宋体"/>
          <w:bCs/>
        </w:rPr>
        <w:t>采购清单以外的货物，</w:t>
      </w:r>
      <w:r>
        <w:rPr>
          <w:rFonts w:hint="eastAsia" w:ascii="宋体" w:hAnsi="宋体"/>
          <w:b/>
        </w:rPr>
        <w:t>最高限价参照京东旗舰店单价</w:t>
      </w:r>
      <w:r>
        <w:rPr>
          <w:rFonts w:hint="eastAsia" w:ascii="宋体" w:hAnsi="宋体"/>
        </w:rPr>
        <w:t>，</w:t>
      </w:r>
      <w:r>
        <w:rPr>
          <w:rFonts w:hint="eastAsia" w:ascii="宋体" w:hAnsi="宋体"/>
          <w:color w:val="000000"/>
        </w:rPr>
        <w:t>结算金额为∑（各项产品最高限价*（1-成交下浮率）*数量）。</w:t>
      </w:r>
    </w:p>
    <w:p>
      <w:pPr>
        <w:numPr>
          <w:ilvl w:val="0"/>
          <w:numId w:val="17"/>
        </w:numPr>
        <w:autoSpaceDE w:val="0"/>
        <w:autoSpaceDN w:val="0"/>
        <w:adjustRightInd w:val="0"/>
        <w:snapToGrid w:val="0"/>
        <w:spacing w:line="360" w:lineRule="auto"/>
        <w:ind w:left="0" w:firstLine="0"/>
        <w:jc w:val="left"/>
        <w:rPr>
          <w:rFonts w:ascii="宋体" w:hAnsi="宋体"/>
          <w:color w:val="000000"/>
          <w:kern w:val="21"/>
        </w:rPr>
      </w:pPr>
      <w:r>
        <w:rPr>
          <w:rFonts w:hint="eastAsia" w:ascii="宋体" w:hAnsi="宋体"/>
          <w:color w:val="000000"/>
          <w:kern w:val="21"/>
        </w:rPr>
        <w:t>成交人凭以下有效文件与采购人结算：</w:t>
      </w:r>
    </w:p>
    <w:p>
      <w:pPr>
        <w:numPr>
          <w:ilvl w:val="1"/>
          <w:numId w:val="18"/>
        </w:numPr>
        <w:snapToGrid w:val="0"/>
        <w:spacing w:line="360" w:lineRule="auto"/>
        <w:ind w:left="0" w:firstLine="0"/>
        <w:rPr>
          <w:rFonts w:ascii="宋体" w:hAnsi="宋体"/>
          <w:color w:val="000000"/>
        </w:rPr>
      </w:pPr>
      <w:r>
        <w:rPr>
          <w:rFonts w:hint="eastAsia" w:ascii="宋体" w:hAnsi="宋体"/>
          <w:color w:val="000000"/>
        </w:rPr>
        <w:t>合同；</w:t>
      </w:r>
    </w:p>
    <w:p>
      <w:pPr>
        <w:numPr>
          <w:ilvl w:val="1"/>
          <w:numId w:val="18"/>
        </w:numPr>
        <w:snapToGrid w:val="0"/>
        <w:spacing w:line="360" w:lineRule="auto"/>
        <w:ind w:left="0" w:firstLine="0"/>
        <w:rPr>
          <w:rFonts w:ascii="宋体" w:hAnsi="宋体"/>
          <w:color w:val="000000"/>
        </w:rPr>
      </w:pPr>
      <w:r>
        <w:rPr>
          <w:rFonts w:hint="eastAsia" w:ascii="宋体" w:hAnsi="宋体"/>
          <w:color w:val="000000"/>
        </w:rPr>
        <w:t>成交人开具的增值税普通发票；</w:t>
      </w:r>
    </w:p>
    <w:p>
      <w:pPr>
        <w:numPr>
          <w:ilvl w:val="1"/>
          <w:numId w:val="18"/>
        </w:numPr>
        <w:snapToGrid w:val="0"/>
        <w:spacing w:line="360" w:lineRule="auto"/>
        <w:ind w:left="0" w:firstLine="0"/>
        <w:rPr>
          <w:rFonts w:ascii="宋体" w:hAnsi="宋体"/>
          <w:color w:val="000000"/>
        </w:rPr>
      </w:pPr>
      <w:r>
        <w:rPr>
          <w:rFonts w:hint="eastAsia" w:ascii="宋体" w:hAnsi="宋体"/>
          <w:color w:val="000000"/>
        </w:rPr>
        <w:t>验收报告；</w:t>
      </w:r>
    </w:p>
    <w:p>
      <w:pPr>
        <w:numPr>
          <w:ilvl w:val="1"/>
          <w:numId w:val="18"/>
        </w:numPr>
        <w:snapToGrid w:val="0"/>
        <w:spacing w:line="360" w:lineRule="auto"/>
        <w:ind w:left="0" w:firstLine="0"/>
        <w:rPr>
          <w:rFonts w:ascii="宋体" w:hAnsi="宋体"/>
          <w:color w:val="000000"/>
        </w:rPr>
      </w:pPr>
      <w:r>
        <w:rPr>
          <w:rFonts w:hint="eastAsia" w:ascii="宋体" w:hAnsi="宋体"/>
          <w:color w:val="000000"/>
        </w:rPr>
        <w:t>成交通知书。</w:t>
      </w:r>
      <w:r>
        <w:rPr>
          <w:rFonts w:hint="eastAsia" w:ascii="宋体" w:hAnsi="宋体"/>
          <w:color w:val="000000"/>
        </w:rPr>
        <w:tab/>
      </w:r>
    </w:p>
    <w:p>
      <w:pPr>
        <w:widowControl/>
        <w:spacing w:line="360" w:lineRule="auto"/>
        <w:jc w:val="left"/>
        <w:rPr>
          <w:rFonts w:ascii="宋体" w:hAnsi="宋体"/>
          <w:b/>
          <w:color w:val="000000"/>
        </w:rPr>
      </w:pPr>
      <w:r>
        <w:rPr>
          <w:rFonts w:hint="eastAsia" w:ascii="宋体" w:hAnsi="宋体"/>
          <w:b/>
          <w:color w:val="000000"/>
        </w:rPr>
        <w:t>附件1：采购清单（格之格）</w:t>
      </w:r>
    </w:p>
    <w:tbl>
      <w:tblPr>
        <w:tblStyle w:val="23"/>
        <w:tblW w:w="8336" w:type="dxa"/>
        <w:jc w:val="center"/>
        <w:tblInd w:w="0" w:type="dxa"/>
        <w:tblLayout w:type="fixed"/>
        <w:tblCellMar>
          <w:top w:w="0" w:type="dxa"/>
          <w:left w:w="0" w:type="dxa"/>
          <w:bottom w:w="0" w:type="dxa"/>
          <w:right w:w="0" w:type="dxa"/>
        </w:tblCellMar>
      </w:tblPr>
      <w:tblGrid>
        <w:gridCol w:w="662"/>
        <w:gridCol w:w="1039"/>
        <w:gridCol w:w="1684"/>
        <w:gridCol w:w="1290"/>
        <w:gridCol w:w="2629"/>
        <w:gridCol w:w="1032"/>
      </w:tblGrid>
      <w:tr>
        <w:tblPrEx>
          <w:tblLayout w:type="fixed"/>
          <w:tblCellMar>
            <w:top w:w="0" w:type="dxa"/>
            <w:left w:w="0" w:type="dxa"/>
            <w:bottom w:w="0" w:type="dxa"/>
            <w:right w:w="0" w:type="dxa"/>
          </w:tblCellMar>
        </w:tblPrEx>
        <w:trPr>
          <w:trHeight w:val="82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序号</w:t>
            </w:r>
          </w:p>
        </w:tc>
        <w:tc>
          <w:tcPr>
            <w:tcW w:w="103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品牌</w:t>
            </w:r>
          </w:p>
        </w:tc>
        <w:tc>
          <w:tcPr>
            <w:tcW w:w="1684"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规格型号</w:t>
            </w:r>
          </w:p>
        </w:tc>
        <w:tc>
          <w:tcPr>
            <w:tcW w:w="1290"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所用机器或所需耗材</w:t>
            </w:r>
          </w:p>
        </w:tc>
        <w:tc>
          <w:tcPr>
            <w:tcW w:w="26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型号</w:t>
            </w:r>
          </w:p>
        </w:tc>
        <w:tc>
          <w:tcPr>
            <w:tcW w:w="1032"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单价最高限价/元</w:t>
            </w:r>
          </w:p>
        </w:tc>
      </w:tr>
      <w:tr>
        <w:tblPrEx>
          <w:tblLayout w:type="fixed"/>
          <w:tblCellMar>
            <w:top w:w="0" w:type="dxa"/>
            <w:left w:w="0" w:type="dxa"/>
            <w:bottom w:w="0" w:type="dxa"/>
            <w:right w:w="0" w:type="dxa"/>
          </w:tblCellMar>
        </w:tblPrEx>
        <w:trPr>
          <w:trHeight w:val="60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1</w:t>
            </w:r>
          </w:p>
        </w:tc>
        <w:tc>
          <w:tcPr>
            <w:tcW w:w="103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DocuPrint</w:t>
            </w:r>
          </w:p>
        </w:tc>
        <w:tc>
          <w:tcPr>
            <w:tcW w:w="1684"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DocuPrint P218 b</w:t>
            </w:r>
          </w:p>
        </w:tc>
        <w:tc>
          <w:tcPr>
            <w:tcW w:w="1290"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粉盒（黑）</w:t>
            </w:r>
          </w:p>
        </w:tc>
        <w:tc>
          <w:tcPr>
            <w:tcW w:w="26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格之格粉盒 施乐 NT-CX105C(外）带芯片</w:t>
            </w:r>
          </w:p>
        </w:tc>
        <w:tc>
          <w:tcPr>
            <w:tcW w:w="1032"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35.33 </w:t>
            </w:r>
          </w:p>
        </w:tc>
      </w:tr>
      <w:tr>
        <w:tblPrEx>
          <w:tblLayout w:type="fixed"/>
          <w:tblCellMar>
            <w:top w:w="0" w:type="dxa"/>
            <w:left w:w="0" w:type="dxa"/>
            <w:bottom w:w="0" w:type="dxa"/>
            <w:right w:w="0" w:type="dxa"/>
          </w:tblCellMar>
        </w:tblPrEx>
        <w:trPr>
          <w:trHeight w:val="60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2</w:t>
            </w:r>
          </w:p>
        </w:tc>
        <w:tc>
          <w:tcPr>
            <w:tcW w:w="1039" w:type="dxa"/>
            <w:vMerge w:val="restar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爱普生</w:t>
            </w:r>
          </w:p>
        </w:tc>
        <w:tc>
          <w:tcPr>
            <w:tcW w:w="1684" w:type="dxa"/>
            <w:vMerge w:val="restar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EPSON ME office 1100</w:t>
            </w:r>
          </w:p>
        </w:tc>
        <w:tc>
          <w:tcPr>
            <w:tcW w:w="1290"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粉盒</w:t>
            </w:r>
          </w:p>
        </w:tc>
        <w:tc>
          <w:tcPr>
            <w:tcW w:w="26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格之格墨盒 NE-T1091 BK</w:t>
            </w:r>
          </w:p>
        </w:tc>
        <w:tc>
          <w:tcPr>
            <w:tcW w:w="1032"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25.67 </w:t>
            </w:r>
          </w:p>
        </w:tc>
      </w:tr>
      <w:tr>
        <w:tblPrEx>
          <w:tblLayout w:type="fixed"/>
          <w:tblCellMar>
            <w:top w:w="0" w:type="dxa"/>
            <w:left w:w="0" w:type="dxa"/>
            <w:bottom w:w="0" w:type="dxa"/>
            <w:right w:w="0" w:type="dxa"/>
          </w:tblCellMar>
        </w:tblPrEx>
        <w:trPr>
          <w:trHeight w:val="60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3</w:t>
            </w:r>
          </w:p>
        </w:tc>
        <w:tc>
          <w:tcPr>
            <w:tcW w:w="1039"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olor w:val="000000"/>
                <w:szCs w:val="21"/>
              </w:rPr>
            </w:pPr>
          </w:p>
        </w:tc>
        <w:tc>
          <w:tcPr>
            <w:tcW w:w="1684"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olor w:val="000000"/>
                <w:szCs w:val="21"/>
              </w:rPr>
            </w:pPr>
          </w:p>
        </w:tc>
        <w:tc>
          <w:tcPr>
            <w:tcW w:w="1290"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粉盒</w:t>
            </w:r>
          </w:p>
        </w:tc>
        <w:tc>
          <w:tcPr>
            <w:tcW w:w="26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格之格墨盒 NE-T1092 C</w:t>
            </w:r>
          </w:p>
        </w:tc>
        <w:tc>
          <w:tcPr>
            <w:tcW w:w="1032"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25.67 </w:t>
            </w:r>
          </w:p>
        </w:tc>
      </w:tr>
      <w:tr>
        <w:tblPrEx>
          <w:tblLayout w:type="fixed"/>
          <w:tblCellMar>
            <w:top w:w="0" w:type="dxa"/>
            <w:left w:w="0" w:type="dxa"/>
            <w:bottom w:w="0" w:type="dxa"/>
            <w:right w:w="0" w:type="dxa"/>
          </w:tblCellMar>
        </w:tblPrEx>
        <w:trPr>
          <w:trHeight w:val="60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4</w:t>
            </w:r>
          </w:p>
        </w:tc>
        <w:tc>
          <w:tcPr>
            <w:tcW w:w="1039"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olor w:val="000000"/>
                <w:szCs w:val="21"/>
              </w:rPr>
            </w:pPr>
          </w:p>
        </w:tc>
        <w:tc>
          <w:tcPr>
            <w:tcW w:w="1684"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olor w:val="000000"/>
                <w:szCs w:val="21"/>
              </w:rPr>
            </w:pPr>
          </w:p>
        </w:tc>
        <w:tc>
          <w:tcPr>
            <w:tcW w:w="1290"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粉盒</w:t>
            </w:r>
          </w:p>
        </w:tc>
        <w:tc>
          <w:tcPr>
            <w:tcW w:w="26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格之格墨盒 NE-T1093 M</w:t>
            </w:r>
          </w:p>
        </w:tc>
        <w:tc>
          <w:tcPr>
            <w:tcW w:w="1032"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25.67 </w:t>
            </w:r>
          </w:p>
        </w:tc>
      </w:tr>
      <w:tr>
        <w:tblPrEx>
          <w:tblLayout w:type="fixed"/>
          <w:tblCellMar>
            <w:top w:w="0" w:type="dxa"/>
            <w:left w:w="0" w:type="dxa"/>
            <w:bottom w:w="0" w:type="dxa"/>
            <w:right w:w="0" w:type="dxa"/>
          </w:tblCellMar>
        </w:tblPrEx>
        <w:trPr>
          <w:trHeight w:val="60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5</w:t>
            </w:r>
          </w:p>
        </w:tc>
        <w:tc>
          <w:tcPr>
            <w:tcW w:w="1039"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olor w:val="000000"/>
                <w:szCs w:val="21"/>
              </w:rPr>
            </w:pPr>
          </w:p>
        </w:tc>
        <w:tc>
          <w:tcPr>
            <w:tcW w:w="1684"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olor w:val="000000"/>
                <w:szCs w:val="21"/>
              </w:rPr>
            </w:pPr>
          </w:p>
        </w:tc>
        <w:tc>
          <w:tcPr>
            <w:tcW w:w="1290"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粉盒</w:t>
            </w:r>
          </w:p>
        </w:tc>
        <w:tc>
          <w:tcPr>
            <w:tcW w:w="26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格之格墨盒 NE-T1094 Y</w:t>
            </w:r>
          </w:p>
        </w:tc>
        <w:tc>
          <w:tcPr>
            <w:tcW w:w="1032"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20.67 </w:t>
            </w:r>
          </w:p>
        </w:tc>
      </w:tr>
      <w:tr>
        <w:tblPrEx>
          <w:tblLayout w:type="fixed"/>
          <w:tblCellMar>
            <w:top w:w="0" w:type="dxa"/>
            <w:left w:w="0" w:type="dxa"/>
            <w:bottom w:w="0" w:type="dxa"/>
            <w:right w:w="0" w:type="dxa"/>
          </w:tblCellMar>
        </w:tblPrEx>
        <w:trPr>
          <w:trHeight w:val="60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6</w:t>
            </w:r>
          </w:p>
        </w:tc>
        <w:tc>
          <w:tcPr>
            <w:tcW w:w="1039"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olor w:val="000000"/>
                <w:szCs w:val="21"/>
              </w:rPr>
            </w:pPr>
          </w:p>
        </w:tc>
        <w:tc>
          <w:tcPr>
            <w:tcW w:w="1684"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爱普生针式打印机LQ-735K</w:t>
            </w:r>
          </w:p>
        </w:tc>
        <w:tc>
          <w:tcPr>
            <w:tcW w:w="1290"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色带</w:t>
            </w:r>
          </w:p>
        </w:tc>
        <w:tc>
          <w:tcPr>
            <w:tcW w:w="26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bookmarkStart w:id="0" w:name="_Hlk155147299"/>
            <w:r>
              <w:rPr>
                <w:rFonts w:hint="eastAsia" w:ascii="宋体" w:hAnsi="宋体"/>
                <w:color w:val="000000"/>
                <w:kern w:val="0"/>
              </w:rPr>
              <w:t>格之格带架 EPSON ND-LQ630K（ND-RP026)</w:t>
            </w:r>
            <w:bookmarkEnd w:id="0"/>
          </w:p>
        </w:tc>
        <w:tc>
          <w:tcPr>
            <w:tcW w:w="1032"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20.00 </w:t>
            </w:r>
          </w:p>
        </w:tc>
      </w:tr>
      <w:tr>
        <w:tblPrEx>
          <w:tblLayout w:type="fixed"/>
          <w:tblCellMar>
            <w:top w:w="0" w:type="dxa"/>
            <w:left w:w="0" w:type="dxa"/>
            <w:bottom w:w="0" w:type="dxa"/>
            <w:right w:w="0" w:type="dxa"/>
          </w:tblCellMar>
        </w:tblPrEx>
        <w:trPr>
          <w:trHeight w:val="60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7</w:t>
            </w:r>
          </w:p>
        </w:tc>
        <w:tc>
          <w:tcPr>
            <w:tcW w:w="1039" w:type="dxa"/>
            <w:vMerge w:val="restar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惠普</w:t>
            </w:r>
          </w:p>
        </w:tc>
        <w:tc>
          <w:tcPr>
            <w:tcW w:w="1684"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HP1536DNF</w:t>
            </w:r>
          </w:p>
        </w:tc>
        <w:tc>
          <w:tcPr>
            <w:tcW w:w="1290"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硒鼓</w:t>
            </w:r>
          </w:p>
        </w:tc>
        <w:tc>
          <w:tcPr>
            <w:tcW w:w="26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格之格硒鼓 NT-C0388A</w:t>
            </w:r>
          </w:p>
        </w:tc>
        <w:tc>
          <w:tcPr>
            <w:tcW w:w="1032"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82.00 </w:t>
            </w:r>
          </w:p>
        </w:tc>
      </w:tr>
      <w:tr>
        <w:tblPrEx>
          <w:tblLayout w:type="fixed"/>
          <w:tblCellMar>
            <w:top w:w="0" w:type="dxa"/>
            <w:left w:w="0" w:type="dxa"/>
            <w:bottom w:w="0" w:type="dxa"/>
            <w:right w:w="0" w:type="dxa"/>
          </w:tblCellMar>
        </w:tblPrEx>
        <w:trPr>
          <w:trHeight w:val="60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8</w:t>
            </w:r>
          </w:p>
        </w:tc>
        <w:tc>
          <w:tcPr>
            <w:tcW w:w="1039"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olor w:val="000000"/>
                <w:szCs w:val="21"/>
              </w:rPr>
            </w:pPr>
          </w:p>
        </w:tc>
        <w:tc>
          <w:tcPr>
            <w:tcW w:w="1684"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HP M403d 白色</w:t>
            </w:r>
          </w:p>
        </w:tc>
        <w:tc>
          <w:tcPr>
            <w:tcW w:w="1290"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硒鼓</w:t>
            </w:r>
          </w:p>
        </w:tc>
        <w:tc>
          <w:tcPr>
            <w:tcW w:w="26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格之格硒鼓 HP NT-PH228C</w:t>
            </w:r>
          </w:p>
        </w:tc>
        <w:tc>
          <w:tcPr>
            <w:tcW w:w="1032"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102.33 </w:t>
            </w:r>
          </w:p>
        </w:tc>
      </w:tr>
      <w:tr>
        <w:tblPrEx>
          <w:tblLayout w:type="fixed"/>
          <w:tblCellMar>
            <w:top w:w="0" w:type="dxa"/>
            <w:left w:w="0" w:type="dxa"/>
            <w:bottom w:w="0" w:type="dxa"/>
            <w:right w:w="0" w:type="dxa"/>
          </w:tblCellMar>
        </w:tblPrEx>
        <w:trPr>
          <w:trHeight w:val="60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9</w:t>
            </w:r>
          </w:p>
        </w:tc>
        <w:tc>
          <w:tcPr>
            <w:tcW w:w="1039"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olor w:val="000000"/>
                <w:szCs w:val="21"/>
              </w:rPr>
            </w:pPr>
          </w:p>
        </w:tc>
        <w:tc>
          <w:tcPr>
            <w:tcW w:w="1684"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HP P1108</w:t>
            </w:r>
          </w:p>
        </w:tc>
        <w:tc>
          <w:tcPr>
            <w:tcW w:w="1290"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硒鼓</w:t>
            </w:r>
          </w:p>
        </w:tc>
        <w:tc>
          <w:tcPr>
            <w:tcW w:w="26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格之格硒鼓 NT-C0388A</w:t>
            </w:r>
          </w:p>
        </w:tc>
        <w:tc>
          <w:tcPr>
            <w:tcW w:w="1032"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82.00 </w:t>
            </w:r>
          </w:p>
        </w:tc>
      </w:tr>
      <w:tr>
        <w:tblPrEx>
          <w:tblLayout w:type="fixed"/>
          <w:tblCellMar>
            <w:top w:w="0" w:type="dxa"/>
            <w:left w:w="0" w:type="dxa"/>
            <w:bottom w:w="0" w:type="dxa"/>
            <w:right w:w="0" w:type="dxa"/>
          </w:tblCellMar>
        </w:tblPrEx>
        <w:trPr>
          <w:trHeight w:val="60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10</w:t>
            </w:r>
          </w:p>
        </w:tc>
        <w:tc>
          <w:tcPr>
            <w:tcW w:w="1039"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olor w:val="000000"/>
                <w:szCs w:val="21"/>
              </w:rPr>
            </w:pPr>
          </w:p>
        </w:tc>
        <w:tc>
          <w:tcPr>
            <w:tcW w:w="1684" w:type="dxa"/>
            <w:vMerge w:val="restar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HP PRO MEP M177FW</w:t>
            </w:r>
          </w:p>
        </w:tc>
        <w:tc>
          <w:tcPr>
            <w:tcW w:w="1290"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惠普130A（CF350A)硒鼓黑</w:t>
            </w:r>
          </w:p>
        </w:tc>
        <w:tc>
          <w:tcPr>
            <w:tcW w:w="26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格之格硒鼓 NT-CH311/CH351/CC329FC</w:t>
            </w:r>
          </w:p>
        </w:tc>
        <w:tc>
          <w:tcPr>
            <w:tcW w:w="1032"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80.00 </w:t>
            </w:r>
          </w:p>
        </w:tc>
      </w:tr>
      <w:tr>
        <w:tblPrEx>
          <w:tblLayout w:type="fixed"/>
          <w:tblCellMar>
            <w:top w:w="0" w:type="dxa"/>
            <w:left w:w="0" w:type="dxa"/>
            <w:bottom w:w="0" w:type="dxa"/>
            <w:right w:w="0" w:type="dxa"/>
          </w:tblCellMar>
        </w:tblPrEx>
        <w:trPr>
          <w:trHeight w:val="60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11</w:t>
            </w:r>
          </w:p>
        </w:tc>
        <w:tc>
          <w:tcPr>
            <w:tcW w:w="1039"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olor w:val="000000"/>
                <w:szCs w:val="21"/>
              </w:rPr>
            </w:pPr>
          </w:p>
        </w:tc>
        <w:tc>
          <w:tcPr>
            <w:tcW w:w="1684"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olor w:val="000000"/>
                <w:szCs w:val="21"/>
              </w:rPr>
            </w:pPr>
          </w:p>
        </w:tc>
        <w:tc>
          <w:tcPr>
            <w:tcW w:w="1290"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惠普130A（CF351A)硒鼓蓝</w:t>
            </w:r>
          </w:p>
        </w:tc>
        <w:tc>
          <w:tcPr>
            <w:tcW w:w="26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格之格硒鼓 NT-CH312/CH352/CC329FY</w:t>
            </w:r>
          </w:p>
        </w:tc>
        <w:tc>
          <w:tcPr>
            <w:tcW w:w="1032"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80.00 </w:t>
            </w:r>
          </w:p>
        </w:tc>
      </w:tr>
      <w:tr>
        <w:tblPrEx>
          <w:tblLayout w:type="fixed"/>
          <w:tblCellMar>
            <w:top w:w="0" w:type="dxa"/>
            <w:left w:w="0" w:type="dxa"/>
            <w:bottom w:w="0" w:type="dxa"/>
            <w:right w:w="0" w:type="dxa"/>
          </w:tblCellMar>
        </w:tblPrEx>
        <w:trPr>
          <w:trHeight w:val="60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12</w:t>
            </w:r>
          </w:p>
        </w:tc>
        <w:tc>
          <w:tcPr>
            <w:tcW w:w="1039"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olor w:val="000000"/>
                <w:szCs w:val="21"/>
              </w:rPr>
            </w:pPr>
          </w:p>
        </w:tc>
        <w:tc>
          <w:tcPr>
            <w:tcW w:w="1684"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olor w:val="000000"/>
                <w:szCs w:val="21"/>
              </w:rPr>
            </w:pPr>
          </w:p>
        </w:tc>
        <w:tc>
          <w:tcPr>
            <w:tcW w:w="1290"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惠普130A（CF352A)硒鼓黄</w:t>
            </w:r>
          </w:p>
        </w:tc>
        <w:tc>
          <w:tcPr>
            <w:tcW w:w="26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格之格硒鼓 NT-CH313/CH353/CC329FM</w:t>
            </w:r>
          </w:p>
        </w:tc>
        <w:tc>
          <w:tcPr>
            <w:tcW w:w="1032"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80.00 </w:t>
            </w:r>
          </w:p>
        </w:tc>
      </w:tr>
      <w:tr>
        <w:tblPrEx>
          <w:tblLayout w:type="fixed"/>
          <w:tblCellMar>
            <w:top w:w="0" w:type="dxa"/>
            <w:left w:w="0" w:type="dxa"/>
            <w:bottom w:w="0" w:type="dxa"/>
            <w:right w:w="0" w:type="dxa"/>
          </w:tblCellMar>
        </w:tblPrEx>
        <w:trPr>
          <w:trHeight w:val="60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13</w:t>
            </w:r>
          </w:p>
        </w:tc>
        <w:tc>
          <w:tcPr>
            <w:tcW w:w="1039"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olor w:val="000000"/>
                <w:szCs w:val="21"/>
              </w:rPr>
            </w:pPr>
          </w:p>
        </w:tc>
        <w:tc>
          <w:tcPr>
            <w:tcW w:w="1684"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olor w:val="000000"/>
                <w:szCs w:val="21"/>
              </w:rPr>
            </w:pPr>
          </w:p>
        </w:tc>
        <w:tc>
          <w:tcPr>
            <w:tcW w:w="1290"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惠普130A（CF353A)硒鼓红</w:t>
            </w:r>
          </w:p>
        </w:tc>
        <w:tc>
          <w:tcPr>
            <w:tcW w:w="26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格之格硒鼓 NT-DH314</w:t>
            </w:r>
          </w:p>
        </w:tc>
        <w:tc>
          <w:tcPr>
            <w:tcW w:w="1032"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106.67 </w:t>
            </w:r>
          </w:p>
        </w:tc>
      </w:tr>
      <w:tr>
        <w:tblPrEx>
          <w:tblLayout w:type="fixed"/>
          <w:tblCellMar>
            <w:top w:w="0" w:type="dxa"/>
            <w:left w:w="0" w:type="dxa"/>
            <w:bottom w:w="0" w:type="dxa"/>
            <w:right w:w="0" w:type="dxa"/>
          </w:tblCellMar>
        </w:tblPrEx>
        <w:trPr>
          <w:trHeight w:val="60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14</w:t>
            </w:r>
          </w:p>
        </w:tc>
        <w:tc>
          <w:tcPr>
            <w:tcW w:w="1039"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olor w:val="000000"/>
                <w:szCs w:val="21"/>
              </w:rPr>
            </w:pPr>
          </w:p>
        </w:tc>
        <w:tc>
          <w:tcPr>
            <w:tcW w:w="1684"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HP-1010激光</w:t>
            </w:r>
          </w:p>
        </w:tc>
        <w:tc>
          <w:tcPr>
            <w:tcW w:w="1290"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硒鼓</w:t>
            </w:r>
          </w:p>
        </w:tc>
        <w:tc>
          <w:tcPr>
            <w:tcW w:w="26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格之格硒鼓 NT-C2612A</w:t>
            </w:r>
          </w:p>
        </w:tc>
        <w:tc>
          <w:tcPr>
            <w:tcW w:w="1032"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80.67 </w:t>
            </w:r>
          </w:p>
        </w:tc>
      </w:tr>
      <w:tr>
        <w:tblPrEx>
          <w:tblLayout w:type="fixed"/>
          <w:tblCellMar>
            <w:top w:w="0" w:type="dxa"/>
            <w:left w:w="0" w:type="dxa"/>
            <w:bottom w:w="0" w:type="dxa"/>
            <w:right w:w="0" w:type="dxa"/>
          </w:tblCellMar>
        </w:tblPrEx>
        <w:trPr>
          <w:trHeight w:val="60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15</w:t>
            </w:r>
          </w:p>
        </w:tc>
        <w:tc>
          <w:tcPr>
            <w:tcW w:w="1039"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olor w:val="000000"/>
                <w:szCs w:val="21"/>
              </w:rPr>
            </w:pPr>
          </w:p>
        </w:tc>
        <w:tc>
          <w:tcPr>
            <w:tcW w:w="1684"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HP1020</w:t>
            </w:r>
          </w:p>
        </w:tc>
        <w:tc>
          <w:tcPr>
            <w:tcW w:w="1290"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硒鼓</w:t>
            </w:r>
          </w:p>
        </w:tc>
        <w:tc>
          <w:tcPr>
            <w:tcW w:w="26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格之格硒鼓 NT-C2612A</w:t>
            </w:r>
          </w:p>
        </w:tc>
        <w:tc>
          <w:tcPr>
            <w:tcW w:w="1032"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80.67 </w:t>
            </w:r>
          </w:p>
        </w:tc>
      </w:tr>
      <w:tr>
        <w:tblPrEx>
          <w:tblLayout w:type="fixed"/>
          <w:tblCellMar>
            <w:top w:w="0" w:type="dxa"/>
            <w:left w:w="0" w:type="dxa"/>
            <w:bottom w:w="0" w:type="dxa"/>
            <w:right w:w="0" w:type="dxa"/>
          </w:tblCellMar>
        </w:tblPrEx>
        <w:trPr>
          <w:trHeight w:val="60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16</w:t>
            </w:r>
          </w:p>
        </w:tc>
        <w:tc>
          <w:tcPr>
            <w:tcW w:w="1039"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olor w:val="000000"/>
                <w:szCs w:val="21"/>
              </w:rPr>
            </w:pPr>
          </w:p>
        </w:tc>
        <w:tc>
          <w:tcPr>
            <w:tcW w:w="1684"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HP-1022</w:t>
            </w:r>
          </w:p>
        </w:tc>
        <w:tc>
          <w:tcPr>
            <w:tcW w:w="1290"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硒鼓</w:t>
            </w:r>
          </w:p>
        </w:tc>
        <w:tc>
          <w:tcPr>
            <w:tcW w:w="26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格之格硒鼓 NT-C2612A</w:t>
            </w:r>
          </w:p>
        </w:tc>
        <w:tc>
          <w:tcPr>
            <w:tcW w:w="1032"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80.67 </w:t>
            </w:r>
          </w:p>
        </w:tc>
      </w:tr>
      <w:tr>
        <w:tblPrEx>
          <w:tblLayout w:type="fixed"/>
          <w:tblCellMar>
            <w:top w:w="0" w:type="dxa"/>
            <w:left w:w="0" w:type="dxa"/>
            <w:bottom w:w="0" w:type="dxa"/>
            <w:right w:w="0" w:type="dxa"/>
          </w:tblCellMar>
        </w:tblPrEx>
        <w:trPr>
          <w:trHeight w:val="60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17</w:t>
            </w:r>
          </w:p>
        </w:tc>
        <w:tc>
          <w:tcPr>
            <w:tcW w:w="1039"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olor w:val="000000"/>
                <w:szCs w:val="21"/>
              </w:rPr>
            </w:pPr>
          </w:p>
        </w:tc>
        <w:tc>
          <w:tcPr>
            <w:tcW w:w="1684"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LaserJet M1005</w:t>
            </w:r>
          </w:p>
        </w:tc>
        <w:tc>
          <w:tcPr>
            <w:tcW w:w="1290"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硒鼓</w:t>
            </w:r>
          </w:p>
        </w:tc>
        <w:tc>
          <w:tcPr>
            <w:tcW w:w="26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格之格硒鼓 NT-C2612A</w:t>
            </w:r>
          </w:p>
        </w:tc>
        <w:tc>
          <w:tcPr>
            <w:tcW w:w="1032"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80.67 </w:t>
            </w:r>
          </w:p>
        </w:tc>
      </w:tr>
      <w:tr>
        <w:tblPrEx>
          <w:tblLayout w:type="fixed"/>
          <w:tblCellMar>
            <w:top w:w="0" w:type="dxa"/>
            <w:left w:w="0" w:type="dxa"/>
            <w:bottom w:w="0" w:type="dxa"/>
            <w:right w:w="0" w:type="dxa"/>
          </w:tblCellMar>
        </w:tblPrEx>
        <w:trPr>
          <w:trHeight w:val="60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18</w:t>
            </w:r>
          </w:p>
        </w:tc>
        <w:tc>
          <w:tcPr>
            <w:tcW w:w="1039"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olor w:val="000000"/>
                <w:szCs w:val="21"/>
              </w:rPr>
            </w:pPr>
          </w:p>
        </w:tc>
        <w:tc>
          <w:tcPr>
            <w:tcW w:w="1684" w:type="dxa"/>
            <w:vMerge w:val="restar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LaserJetProMFP M227fdw</w:t>
            </w:r>
          </w:p>
        </w:tc>
        <w:tc>
          <w:tcPr>
            <w:tcW w:w="1290"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粉盒（黑）</w:t>
            </w:r>
          </w:p>
        </w:tc>
        <w:tc>
          <w:tcPr>
            <w:tcW w:w="26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格之格粉盒 NT-PH230C 带芯片</w:t>
            </w:r>
          </w:p>
        </w:tc>
        <w:tc>
          <w:tcPr>
            <w:tcW w:w="1032"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101.33 </w:t>
            </w:r>
          </w:p>
        </w:tc>
      </w:tr>
      <w:tr>
        <w:tblPrEx>
          <w:tblLayout w:type="fixed"/>
          <w:tblCellMar>
            <w:top w:w="0" w:type="dxa"/>
            <w:left w:w="0" w:type="dxa"/>
            <w:bottom w:w="0" w:type="dxa"/>
            <w:right w:w="0" w:type="dxa"/>
          </w:tblCellMar>
        </w:tblPrEx>
        <w:trPr>
          <w:trHeight w:val="60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19</w:t>
            </w:r>
          </w:p>
        </w:tc>
        <w:tc>
          <w:tcPr>
            <w:tcW w:w="1039"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olor w:val="000000"/>
                <w:szCs w:val="21"/>
              </w:rPr>
            </w:pPr>
          </w:p>
        </w:tc>
        <w:tc>
          <w:tcPr>
            <w:tcW w:w="1684"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olor w:val="000000"/>
                <w:szCs w:val="21"/>
              </w:rPr>
            </w:pPr>
          </w:p>
        </w:tc>
        <w:tc>
          <w:tcPr>
            <w:tcW w:w="1290"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鼓架</w:t>
            </w:r>
          </w:p>
        </w:tc>
        <w:tc>
          <w:tcPr>
            <w:tcW w:w="26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格之格硒鼓 NT-DH232C (230/231粉盒对应硒鼓）</w:t>
            </w:r>
          </w:p>
        </w:tc>
        <w:tc>
          <w:tcPr>
            <w:tcW w:w="1032"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163.33 </w:t>
            </w:r>
          </w:p>
        </w:tc>
      </w:tr>
      <w:tr>
        <w:tblPrEx>
          <w:tblLayout w:type="fixed"/>
          <w:tblCellMar>
            <w:top w:w="0" w:type="dxa"/>
            <w:left w:w="0" w:type="dxa"/>
            <w:bottom w:w="0" w:type="dxa"/>
            <w:right w:w="0" w:type="dxa"/>
          </w:tblCellMar>
        </w:tblPrEx>
        <w:trPr>
          <w:trHeight w:val="60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20</w:t>
            </w:r>
          </w:p>
        </w:tc>
        <w:tc>
          <w:tcPr>
            <w:tcW w:w="1039"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olor w:val="000000"/>
                <w:szCs w:val="21"/>
              </w:rPr>
            </w:pPr>
          </w:p>
        </w:tc>
        <w:tc>
          <w:tcPr>
            <w:tcW w:w="1684"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M126NW</w:t>
            </w:r>
          </w:p>
        </w:tc>
        <w:tc>
          <w:tcPr>
            <w:tcW w:w="1290"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硒鼓</w:t>
            </w:r>
          </w:p>
        </w:tc>
        <w:tc>
          <w:tcPr>
            <w:tcW w:w="26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格之格硒鼓 NT-C0388A</w:t>
            </w:r>
          </w:p>
        </w:tc>
        <w:tc>
          <w:tcPr>
            <w:tcW w:w="1032"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82.00 </w:t>
            </w:r>
          </w:p>
        </w:tc>
      </w:tr>
      <w:tr>
        <w:tblPrEx>
          <w:tblLayout w:type="fixed"/>
          <w:tblCellMar>
            <w:top w:w="0" w:type="dxa"/>
            <w:left w:w="0" w:type="dxa"/>
            <w:bottom w:w="0" w:type="dxa"/>
            <w:right w:w="0" w:type="dxa"/>
          </w:tblCellMar>
        </w:tblPrEx>
        <w:trPr>
          <w:trHeight w:val="60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21</w:t>
            </w:r>
          </w:p>
        </w:tc>
        <w:tc>
          <w:tcPr>
            <w:tcW w:w="1039"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olor w:val="000000"/>
                <w:szCs w:val="21"/>
              </w:rPr>
            </w:pPr>
          </w:p>
        </w:tc>
        <w:tc>
          <w:tcPr>
            <w:tcW w:w="1684" w:type="dxa"/>
            <w:vMerge w:val="restar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M132fd</w:t>
            </w:r>
          </w:p>
        </w:tc>
        <w:tc>
          <w:tcPr>
            <w:tcW w:w="1290"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粉盒（黑）</w:t>
            </w:r>
          </w:p>
        </w:tc>
        <w:tc>
          <w:tcPr>
            <w:tcW w:w="26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格之格硒鼓 NT-PH218CT</w:t>
            </w:r>
          </w:p>
        </w:tc>
        <w:tc>
          <w:tcPr>
            <w:tcW w:w="1032"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124.67 </w:t>
            </w:r>
          </w:p>
        </w:tc>
      </w:tr>
      <w:tr>
        <w:tblPrEx>
          <w:tblLayout w:type="fixed"/>
          <w:tblCellMar>
            <w:top w:w="0" w:type="dxa"/>
            <w:left w:w="0" w:type="dxa"/>
            <w:bottom w:w="0" w:type="dxa"/>
            <w:right w:w="0" w:type="dxa"/>
          </w:tblCellMar>
        </w:tblPrEx>
        <w:trPr>
          <w:trHeight w:val="60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22</w:t>
            </w:r>
          </w:p>
        </w:tc>
        <w:tc>
          <w:tcPr>
            <w:tcW w:w="1039"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olor w:val="000000"/>
                <w:szCs w:val="21"/>
              </w:rPr>
            </w:pPr>
          </w:p>
        </w:tc>
        <w:tc>
          <w:tcPr>
            <w:tcW w:w="1684"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olor w:val="000000"/>
                <w:szCs w:val="21"/>
              </w:rPr>
            </w:pPr>
          </w:p>
        </w:tc>
        <w:tc>
          <w:tcPr>
            <w:tcW w:w="1290"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鼓架</w:t>
            </w:r>
          </w:p>
        </w:tc>
        <w:tc>
          <w:tcPr>
            <w:tcW w:w="26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格之格硒鼓 NT-DH219C （218粉盒配套鼓）</w:t>
            </w:r>
          </w:p>
        </w:tc>
        <w:tc>
          <w:tcPr>
            <w:tcW w:w="1032"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149.33 </w:t>
            </w:r>
          </w:p>
        </w:tc>
      </w:tr>
      <w:tr>
        <w:tblPrEx>
          <w:tblLayout w:type="fixed"/>
          <w:tblCellMar>
            <w:top w:w="0" w:type="dxa"/>
            <w:left w:w="0" w:type="dxa"/>
            <w:bottom w:w="0" w:type="dxa"/>
            <w:right w:w="0" w:type="dxa"/>
          </w:tblCellMar>
        </w:tblPrEx>
        <w:trPr>
          <w:trHeight w:val="60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23</w:t>
            </w:r>
          </w:p>
        </w:tc>
        <w:tc>
          <w:tcPr>
            <w:tcW w:w="1039"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olor w:val="000000"/>
                <w:szCs w:val="21"/>
              </w:rPr>
            </w:pPr>
          </w:p>
        </w:tc>
        <w:tc>
          <w:tcPr>
            <w:tcW w:w="1684"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MF226DN</w:t>
            </w:r>
          </w:p>
        </w:tc>
        <w:tc>
          <w:tcPr>
            <w:tcW w:w="1290"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硒鼓</w:t>
            </w:r>
          </w:p>
        </w:tc>
        <w:tc>
          <w:tcPr>
            <w:tcW w:w="26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格之格硒鼓 佳能 NT-PC337CT</w:t>
            </w:r>
          </w:p>
        </w:tc>
        <w:tc>
          <w:tcPr>
            <w:tcW w:w="1032"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83.33 </w:t>
            </w:r>
          </w:p>
        </w:tc>
      </w:tr>
      <w:tr>
        <w:tblPrEx>
          <w:tblLayout w:type="fixed"/>
          <w:tblCellMar>
            <w:top w:w="0" w:type="dxa"/>
            <w:left w:w="0" w:type="dxa"/>
            <w:bottom w:w="0" w:type="dxa"/>
            <w:right w:w="0" w:type="dxa"/>
          </w:tblCellMar>
        </w:tblPrEx>
        <w:trPr>
          <w:trHeight w:val="60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24</w:t>
            </w:r>
          </w:p>
        </w:tc>
        <w:tc>
          <w:tcPr>
            <w:tcW w:w="1039"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olor w:val="000000"/>
                <w:szCs w:val="21"/>
              </w:rPr>
            </w:pPr>
          </w:p>
        </w:tc>
        <w:tc>
          <w:tcPr>
            <w:tcW w:w="1684"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P2015D</w:t>
            </w:r>
          </w:p>
        </w:tc>
        <w:tc>
          <w:tcPr>
            <w:tcW w:w="1290"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硒鼓</w:t>
            </w:r>
          </w:p>
        </w:tc>
        <w:tc>
          <w:tcPr>
            <w:tcW w:w="26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格之格硒鼓 NT-C7553CT</w:t>
            </w:r>
          </w:p>
        </w:tc>
        <w:tc>
          <w:tcPr>
            <w:tcW w:w="1032"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146.00 </w:t>
            </w:r>
          </w:p>
        </w:tc>
      </w:tr>
      <w:tr>
        <w:tblPrEx>
          <w:tblLayout w:type="fixed"/>
          <w:tblCellMar>
            <w:top w:w="0" w:type="dxa"/>
            <w:left w:w="0" w:type="dxa"/>
            <w:bottom w:w="0" w:type="dxa"/>
            <w:right w:w="0" w:type="dxa"/>
          </w:tblCellMar>
        </w:tblPrEx>
        <w:trPr>
          <w:trHeight w:val="60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25</w:t>
            </w:r>
          </w:p>
        </w:tc>
        <w:tc>
          <w:tcPr>
            <w:tcW w:w="1039"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olor w:val="000000"/>
                <w:szCs w:val="21"/>
              </w:rPr>
            </w:pPr>
          </w:p>
        </w:tc>
        <w:tc>
          <w:tcPr>
            <w:tcW w:w="1684" w:type="dxa"/>
            <w:vMerge w:val="restar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Pro M154nw</w:t>
            </w:r>
          </w:p>
        </w:tc>
        <w:tc>
          <w:tcPr>
            <w:tcW w:w="1290"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粉盒（彩色，如有）</w:t>
            </w:r>
          </w:p>
        </w:tc>
        <w:tc>
          <w:tcPr>
            <w:tcW w:w="26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格之格硒鼓 NT-CH204TFBK</w:t>
            </w:r>
          </w:p>
        </w:tc>
        <w:tc>
          <w:tcPr>
            <w:tcW w:w="1032"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123.67 </w:t>
            </w:r>
          </w:p>
        </w:tc>
      </w:tr>
      <w:tr>
        <w:tblPrEx>
          <w:tblLayout w:type="fixed"/>
          <w:tblCellMar>
            <w:top w:w="0" w:type="dxa"/>
            <w:left w:w="0" w:type="dxa"/>
            <w:bottom w:w="0" w:type="dxa"/>
            <w:right w:w="0" w:type="dxa"/>
          </w:tblCellMar>
        </w:tblPrEx>
        <w:trPr>
          <w:trHeight w:val="60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26</w:t>
            </w:r>
          </w:p>
        </w:tc>
        <w:tc>
          <w:tcPr>
            <w:tcW w:w="1039"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olor w:val="000000"/>
                <w:szCs w:val="21"/>
              </w:rPr>
            </w:pPr>
          </w:p>
        </w:tc>
        <w:tc>
          <w:tcPr>
            <w:tcW w:w="1684"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olor w:val="000000"/>
                <w:szCs w:val="21"/>
              </w:rPr>
            </w:pPr>
          </w:p>
        </w:tc>
        <w:tc>
          <w:tcPr>
            <w:tcW w:w="1290"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惠普240A-CF511A硒鼓青</w:t>
            </w:r>
          </w:p>
        </w:tc>
        <w:tc>
          <w:tcPr>
            <w:tcW w:w="26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格之格硒鼓 NT-CH204TFC</w:t>
            </w:r>
          </w:p>
        </w:tc>
        <w:tc>
          <w:tcPr>
            <w:tcW w:w="1032"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125.67 </w:t>
            </w:r>
          </w:p>
        </w:tc>
      </w:tr>
      <w:tr>
        <w:tblPrEx>
          <w:tblLayout w:type="fixed"/>
          <w:tblCellMar>
            <w:top w:w="0" w:type="dxa"/>
            <w:left w:w="0" w:type="dxa"/>
            <w:bottom w:w="0" w:type="dxa"/>
            <w:right w:w="0" w:type="dxa"/>
          </w:tblCellMar>
        </w:tblPrEx>
        <w:trPr>
          <w:trHeight w:val="60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27</w:t>
            </w:r>
          </w:p>
        </w:tc>
        <w:tc>
          <w:tcPr>
            <w:tcW w:w="1039"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olor w:val="000000"/>
                <w:szCs w:val="21"/>
              </w:rPr>
            </w:pPr>
          </w:p>
        </w:tc>
        <w:tc>
          <w:tcPr>
            <w:tcW w:w="1684"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olor w:val="000000"/>
                <w:szCs w:val="21"/>
              </w:rPr>
            </w:pPr>
          </w:p>
        </w:tc>
        <w:tc>
          <w:tcPr>
            <w:tcW w:w="1290"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惠普240A-CF512A硒鼓黄</w:t>
            </w:r>
          </w:p>
        </w:tc>
        <w:tc>
          <w:tcPr>
            <w:tcW w:w="26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格之格硒鼓 NT-CH204TFM</w:t>
            </w:r>
          </w:p>
        </w:tc>
        <w:tc>
          <w:tcPr>
            <w:tcW w:w="1032"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125.67 </w:t>
            </w:r>
          </w:p>
        </w:tc>
      </w:tr>
      <w:tr>
        <w:tblPrEx>
          <w:tblLayout w:type="fixed"/>
          <w:tblCellMar>
            <w:top w:w="0" w:type="dxa"/>
            <w:left w:w="0" w:type="dxa"/>
            <w:bottom w:w="0" w:type="dxa"/>
            <w:right w:w="0" w:type="dxa"/>
          </w:tblCellMar>
        </w:tblPrEx>
        <w:trPr>
          <w:trHeight w:val="60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28</w:t>
            </w:r>
          </w:p>
        </w:tc>
        <w:tc>
          <w:tcPr>
            <w:tcW w:w="1039"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olor w:val="000000"/>
                <w:szCs w:val="21"/>
              </w:rPr>
            </w:pPr>
          </w:p>
        </w:tc>
        <w:tc>
          <w:tcPr>
            <w:tcW w:w="1684"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olor w:val="000000"/>
                <w:szCs w:val="21"/>
              </w:rPr>
            </w:pPr>
          </w:p>
        </w:tc>
        <w:tc>
          <w:tcPr>
            <w:tcW w:w="1290"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惠普240A-CF513A硒鼓红</w:t>
            </w:r>
          </w:p>
        </w:tc>
        <w:tc>
          <w:tcPr>
            <w:tcW w:w="26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格之格硒鼓 NT-CH204TFY</w:t>
            </w:r>
          </w:p>
        </w:tc>
        <w:tc>
          <w:tcPr>
            <w:tcW w:w="1032"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125.67 </w:t>
            </w:r>
          </w:p>
        </w:tc>
      </w:tr>
      <w:tr>
        <w:tblPrEx>
          <w:tblLayout w:type="fixed"/>
          <w:tblCellMar>
            <w:top w:w="0" w:type="dxa"/>
            <w:left w:w="0" w:type="dxa"/>
            <w:bottom w:w="0" w:type="dxa"/>
            <w:right w:w="0" w:type="dxa"/>
          </w:tblCellMar>
        </w:tblPrEx>
        <w:trPr>
          <w:trHeight w:val="60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29</w:t>
            </w:r>
          </w:p>
        </w:tc>
        <w:tc>
          <w:tcPr>
            <w:tcW w:w="1039"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olor w:val="000000"/>
                <w:szCs w:val="21"/>
              </w:rPr>
            </w:pPr>
          </w:p>
        </w:tc>
        <w:tc>
          <w:tcPr>
            <w:tcW w:w="1684"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惠普LJ－P1008（CC366A）</w:t>
            </w:r>
          </w:p>
        </w:tc>
        <w:tc>
          <w:tcPr>
            <w:tcW w:w="1290"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硒鼓</w:t>
            </w:r>
          </w:p>
        </w:tc>
        <w:tc>
          <w:tcPr>
            <w:tcW w:w="26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格之格硒鼓 NT-C0388A</w:t>
            </w:r>
          </w:p>
        </w:tc>
        <w:tc>
          <w:tcPr>
            <w:tcW w:w="1032"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82.00 </w:t>
            </w:r>
          </w:p>
        </w:tc>
      </w:tr>
      <w:tr>
        <w:tblPrEx>
          <w:tblLayout w:type="fixed"/>
          <w:tblCellMar>
            <w:top w:w="0" w:type="dxa"/>
            <w:left w:w="0" w:type="dxa"/>
            <w:bottom w:w="0" w:type="dxa"/>
            <w:right w:w="0" w:type="dxa"/>
          </w:tblCellMar>
        </w:tblPrEx>
        <w:trPr>
          <w:trHeight w:val="60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30</w:t>
            </w:r>
          </w:p>
        </w:tc>
        <w:tc>
          <w:tcPr>
            <w:tcW w:w="1039"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olor w:val="000000"/>
                <w:szCs w:val="21"/>
              </w:rPr>
            </w:pPr>
          </w:p>
        </w:tc>
        <w:tc>
          <w:tcPr>
            <w:tcW w:w="1684" w:type="dxa"/>
            <w:vMerge w:val="restar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color LJ pro CP5225dn</w:t>
            </w:r>
          </w:p>
        </w:tc>
        <w:tc>
          <w:tcPr>
            <w:tcW w:w="1290"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粉盒（彩色，如有）</w:t>
            </w:r>
          </w:p>
        </w:tc>
        <w:tc>
          <w:tcPr>
            <w:tcW w:w="26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格之格彩鼓 NT-CH740FBK</w:t>
            </w:r>
          </w:p>
        </w:tc>
        <w:tc>
          <w:tcPr>
            <w:tcW w:w="1032"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519.33 </w:t>
            </w:r>
          </w:p>
        </w:tc>
      </w:tr>
      <w:tr>
        <w:tblPrEx>
          <w:tblLayout w:type="fixed"/>
          <w:tblCellMar>
            <w:top w:w="0" w:type="dxa"/>
            <w:left w:w="0" w:type="dxa"/>
            <w:bottom w:w="0" w:type="dxa"/>
            <w:right w:w="0" w:type="dxa"/>
          </w:tblCellMar>
        </w:tblPrEx>
        <w:trPr>
          <w:trHeight w:val="60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31</w:t>
            </w:r>
          </w:p>
        </w:tc>
        <w:tc>
          <w:tcPr>
            <w:tcW w:w="1039"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olor w:val="000000"/>
                <w:szCs w:val="21"/>
              </w:rPr>
            </w:pPr>
          </w:p>
        </w:tc>
        <w:tc>
          <w:tcPr>
            <w:tcW w:w="1684"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olor w:val="000000"/>
                <w:szCs w:val="21"/>
              </w:rPr>
            </w:pPr>
          </w:p>
        </w:tc>
        <w:tc>
          <w:tcPr>
            <w:tcW w:w="1290"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惠普307AX-CE741A硒鼓青</w:t>
            </w:r>
          </w:p>
        </w:tc>
        <w:tc>
          <w:tcPr>
            <w:tcW w:w="26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格之格彩鼓 NT-CH741FC</w:t>
            </w:r>
          </w:p>
        </w:tc>
        <w:tc>
          <w:tcPr>
            <w:tcW w:w="1032"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537.33 </w:t>
            </w:r>
          </w:p>
        </w:tc>
      </w:tr>
      <w:tr>
        <w:tblPrEx>
          <w:tblLayout w:type="fixed"/>
          <w:tblCellMar>
            <w:top w:w="0" w:type="dxa"/>
            <w:left w:w="0" w:type="dxa"/>
            <w:bottom w:w="0" w:type="dxa"/>
            <w:right w:w="0" w:type="dxa"/>
          </w:tblCellMar>
        </w:tblPrEx>
        <w:trPr>
          <w:trHeight w:val="60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32</w:t>
            </w:r>
          </w:p>
        </w:tc>
        <w:tc>
          <w:tcPr>
            <w:tcW w:w="1039"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olor w:val="000000"/>
                <w:szCs w:val="21"/>
              </w:rPr>
            </w:pPr>
          </w:p>
        </w:tc>
        <w:tc>
          <w:tcPr>
            <w:tcW w:w="1684"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olor w:val="000000"/>
                <w:szCs w:val="21"/>
              </w:rPr>
            </w:pPr>
          </w:p>
        </w:tc>
        <w:tc>
          <w:tcPr>
            <w:tcW w:w="1290"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惠普307AX-CE742A硒鼓黄</w:t>
            </w:r>
          </w:p>
        </w:tc>
        <w:tc>
          <w:tcPr>
            <w:tcW w:w="26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格之格彩鼓 NT-CH742FY</w:t>
            </w:r>
          </w:p>
        </w:tc>
        <w:tc>
          <w:tcPr>
            <w:tcW w:w="1032"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537.33 </w:t>
            </w:r>
          </w:p>
        </w:tc>
      </w:tr>
      <w:tr>
        <w:tblPrEx>
          <w:tblLayout w:type="fixed"/>
          <w:tblCellMar>
            <w:top w:w="0" w:type="dxa"/>
            <w:left w:w="0" w:type="dxa"/>
            <w:bottom w:w="0" w:type="dxa"/>
            <w:right w:w="0" w:type="dxa"/>
          </w:tblCellMar>
        </w:tblPrEx>
        <w:trPr>
          <w:trHeight w:val="60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33</w:t>
            </w:r>
          </w:p>
        </w:tc>
        <w:tc>
          <w:tcPr>
            <w:tcW w:w="1039"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olor w:val="000000"/>
                <w:szCs w:val="21"/>
              </w:rPr>
            </w:pPr>
          </w:p>
        </w:tc>
        <w:tc>
          <w:tcPr>
            <w:tcW w:w="1684"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olor w:val="000000"/>
                <w:szCs w:val="21"/>
              </w:rPr>
            </w:pPr>
          </w:p>
        </w:tc>
        <w:tc>
          <w:tcPr>
            <w:tcW w:w="1290"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惠普307AX-CE743A硒鼓红</w:t>
            </w:r>
          </w:p>
        </w:tc>
        <w:tc>
          <w:tcPr>
            <w:tcW w:w="26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格之格彩鼓 NT-CH743FM</w:t>
            </w:r>
          </w:p>
        </w:tc>
        <w:tc>
          <w:tcPr>
            <w:tcW w:w="1032"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537.33 </w:t>
            </w:r>
          </w:p>
        </w:tc>
      </w:tr>
      <w:tr>
        <w:tblPrEx>
          <w:tblLayout w:type="fixed"/>
          <w:tblCellMar>
            <w:top w:w="0" w:type="dxa"/>
            <w:left w:w="0" w:type="dxa"/>
            <w:bottom w:w="0" w:type="dxa"/>
            <w:right w:w="0" w:type="dxa"/>
          </w:tblCellMar>
        </w:tblPrEx>
        <w:trPr>
          <w:trHeight w:val="60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34</w:t>
            </w:r>
          </w:p>
        </w:tc>
        <w:tc>
          <w:tcPr>
            <w:tcW w:w="1039"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olor w:val="000000"/>
                <w:szCs w:val="21"/>
              </w:rPr>
            </w:pPr>
          </w:p>
        </w:tc>
        <w:tc>
          <w:tcPr>
            <w:tcW w:w="1684" w:type="dxa"/>
            <w:vMerge w:val="restar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HP　1525N彩色</w:t>
            </w:r>
          </w:p>
        </w:tc>
        <w:tc>
          <w:tcPr>
            <w:tcW w:w="1290"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粉盒（彩色，如有）</w:t>
            </w:r>
          </w:p>
        </w:tc>
        <w:tc>
          <w:tcPr>
            <w:tcW w:w="26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格之格硒鼓 NT-CH210/540/320XFBK</w:t>
            </w:r>
          </w:p>
        </w:tc>
        <w:tc>
          <w:tcPr>
            <w:tcW w:w="1032"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130.00 </w:t>
            </w:r>
          </w:p>
        </w:tc>
      </w:tr>
      <w:tr>
        <w:tblPrEx>
          <w:tblLayout w:type="fixed"/>
          <w:tblCellMar>
            <w:top w:w="0" w:type="dxa"/>
            <w:left w:w="0" w:type="dxa"/>
            <w:bottom w:w="0" w:type="dxa"/>
            <w:right w:w="0" w:type="dxa"/>
          </w:tblCellMar>
        </w:tblPrEx>
        <w:trPr>
          <w:trHeight w:val="60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35</w:t>
            </w:r>
          </w:p>
        </w:tc>
        <w:tc>
          <w:tcPr>
            <w:tcW w:w="1039"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olor w:val="000000"/>
                <w:szCs w:val="21"/>
              </w:rPr>
            </w:pPr>
          </w:p>
        </w:tc>
        <w:tc>
          <w:tcPr>
            <w:tcW w:w="1684"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olor w:val="000000"/>
                <w:szCs w:val="21"/>
              </w:rPr>
            </w:pPr>
          </w:p>
        </w:tc>
        <w:tc>
          <w:tcPr>
            <w:tcW w:w="1290"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惠普128A-CE321A青硒鼓</w:t>
            </w:r>
          </w:p>
        </w:tc>
        <w:tc>
          <w:tcPr>
            <w:tcW w:w="26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格之格硒鼓 NT-CH211/541/321FC</w:t>
            </w:r>
          </w:p>
        </w:tc>
        <w:tc>
          <w:tcPr>
            <w:tcW w:w="1032"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130.00 </w:t>
            </w:r>
          </w:p>
        </w:tc>
      </w:tr>
      <w:tr>
        <w:tblPrEx>
          <w:tblLayout w:type="fixed"/>
          <w:tblCellMar>
            <w:top w:w="0" w:type="dxa"/>
            <w:left w:w="0" w:type="dxa"/>
            <w:bottom w:w="0" w:type="dxa"/>
            <w:right w:w="0" w:type="dxa"/>
          </w:tblCellMar>
        </w:tblPrEx>
        <w:trPr>
          <w:trHeight w:val="60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36</w:t>
            </w:r>
          </w:p>
        </w:tc>
        <w:tc>
          <w:tcPr>
            <w:tcW w:w="1039"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olor w:val="000000"/>
                <w:szCs w:val="21"/>
              </w:rPr>
            </w:pPr>
          </w:p>
        </w:tc>
        <w:tc>
          <w:tcPr>
            <w:tcW w:w="1684"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olor w:val="000000"/>
                <w:szCs w:val="21"/>
              </w:rPr>
            </w:pPr>
          </w:p>
        </w:tc>
        <w:tc>
          <w:tcPr>
            <w:tcW w:w="1290"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惠普128A-CE322A黄硒鼓</w:t>
            </w:r>
          </w:p>
        </w:tc>
        <w:tc>
          <w:tcPr>
            <w:tcW w:w="26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格之格硒鼓 NT-CH213/543/323FM</w:t>
            </w:r>
          </w:p>
        </w:tc>
        <w:tc>
          <w:tcPr>
            <w:tcW w:w="1032"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128.67 </w:t>
            </w:r>
          </w:p>
        </w:tc>
      </w:tr>
      <w:tr>
        <w:tblPrEx>
          <w:tblLayout w:type="fixed"/>
          <w:tblCellMar>
            <w:top w:w="0" w:type="dxa"/>
            <w:left w:w="0" w:type="dxa"/>
            <w:bottom w:w="0" w:type="dxa"/>
            <w:right w:w="0" w:type="dxa"/>
          </w:tblCellMar>
        </w:tblPrEx>
        <w:trPr>
          <w:trHeight w:val="60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37</w:t>
            </w:r>
          </w:p>
        </w:tc>
        <w:tc>
          <w:tcPr>
            <w:tcW w:w="1039"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olor w:val="000000"/>
                <w:szCs w:val="21"/>
              </w:rPr>
            </w:pPr>
          </w:p>
        </w:tc>
        <w:tc>
          <w:tcPr>
            <w:tcW w:w="1684"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olor w:val="000000"/>
                <w:szCs w:val="21"/>
              </w:rPr>
            </w:pPr>
          </w:p>
        </w:tc>
        <w:tc>
          <w:tcPr>
            <w:tcW w:w="1290"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惠普128A-CE323A红硒鼓</w:t>
            </w:r>
          </w:p>
        </w:tc>
        <w:tc>
          <w:tcPr>
            <w:tcW w:w="26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格之格硒鼓 NT-CH212/542/322FY</w:t>
            </w:r>
          </w:p>
        </w:tc>
        <w:tc>
          <w:tcPr>
            <w:tcW w:w="1032"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130.00 </w:t>
            </w:r>
          </w:p>
        </w:tc>
      </w:tr>
      <w:tr>
        <w:tblPrEx>
          <w:tblLayout w:type="fixed"/>
          <w:tblCellMar>
            <w:top w:w="0" w:type="dxa"/>
            <w:left w:w="0" w:type="dxa"/>
            <w:bottom w:w="0" w:type="dxa"/>
            <w:right w:w="0" w:type="dxa"/>
          </w:tblCellMar>
        </w:tblPrEx>
        <w:trPr>
          <w:trHeight w:val="60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38</w:t>
            </w:r>
          </w:p>
        </w:tc>
        <w:tc>
          <w:tcPr>
            <w:tcW w:w="1039"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olor w:val="000000"/>
                <w:szCs w:val="21"/>
              </w:rPr>
            </w:pPr>
          </w:p>
        </w:tc>
        <w:tc>
          <w:tcPr>
            <w:tcW w:w="1684" w:type="dxa"/>
            <w:vMerge w:val="restar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HP 251E</w:t>
            </w:r>
          </w:p>
        </w:tc>
        <w:tc>
          <w:tcPr>
            <w:tcW w:w="1290"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粉盒（彩色，如有）</w:t>
            </w:r>
          </w:p>
        </w:tc>
        <w:tc>
          <w:tcPr>
            <w:tcW w:w="26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格之格硒鼓 NT-CH210/540/320XFBK</w:t>
            </w:r>
          </w:p>
        </w:tc>
        <w:tc>
          <w:tcPr>
            <w:tcW w:w="1032"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130.00 </w:t>
            </w:r>
          </w:p>
        </w:tc>
      </w:tr>
      <w:tr>
        <w:tblPrEx>
          <w:tblLayout w:type="fixed"/>
          <w:tblCellMar>
            <w:top w:w="0" w:type="dxa"/>
            <w:left w:w="0" w:type="dxa"/>
            <w:bottom w:w="0" w:type="dxa"/>
            <w:right w:w="0" w:type="dxa"/>
          </w:tblCellMar>
        </w:tblPrEx>
        <w:trPr>
          <w:trHeight w:val="60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39</w:t>
            </w:r>
          </w:p>
        </w:tc>
        <w:tc>
          <w:tcPr>
            <w:tcW w:w="1039"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olor w:val="000000"/>
                <w:szCs w:val="21"/>
              </w:rPr>
            </w:pPr>
          </w:p>
        </w:tc>
        <w:tc>
          <w:tcPr>
            <w:tcW w:w="1684"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olor w:val="000000"/>
                <w:szCs w:val="21"/>
              </w:rPr>
            </w:pPr>
          </w:p>
        </w:tc>
        <w:tc>
          <w:tcPr>
            <w:tcW w:w="1290"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惠普131a青</w:t>
            </w:r>
          </w:p>
        </w:tc>
        <w:tc>
          <w:tcPr>
            <w:tcW w:w="26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格之格硒鼓 NT-CH211/541/321FC</w:t>
            </w:r>
          </w:p>
        </w:tc>
        <w:tc>
          <w:tcPr>
            <w:tcW w:w="1032"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130.00 </w:t>
            </w:r>
          </w:p>
        </w:tc>
      </w:tr>
      <w:tr>
        <w:tblPrEx>
          <w:tblLayout w:type="fixed"/>
          <w:tblCellMar>
            <w:top w:w="0" w:type="dxa"/>
            <w:left w:w="0" w:type="dxa"/>
            <w:bottom w:w="0" w:type="dxa"/>
            <w:right w:w="0" w:type="dxa"/>
          </w:tblCellMar>
        </w:tblPrEx>
        <w:trPr>
          <w:trHeight w:val="60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40</w:t>
            </w:r>
          </w:p>
        </w:tc>
        <w:tc>
          <w:tcPr>
            <w:tcW w:w="1039"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olor w:val="000000"/>
                <w:szCs w:val="21"/>
              </w:rPr>
            </w:pPr>
          </w:p>
        </w:tc>
        <w:tc>
          <w:tcPr>
            <w:tcW w:w="1684"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olor w:val="000000"/>
                <w:szCs w:val="21"/>
              </w:rPr>
            </w:pPr>
          </w:p>
        </w:tc>
        <w:tc>
          <w:tcPr>
            <w:tcW w:w="1290"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惠普131a黄</w:t>
            </w:r>
          </w:p>
        </w:tc>
        <w:tc>
          <w:tcPr>
            <w:tcW w:w="26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格之格硒鼓 NT-CH212/542/322FY</w:t>
            </w:r>
          </w:p>
        </w:tc>
        <w:tc>
          <w:tcPr>
            <w:tcW w:w="1032"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130.00 </w:t>
            </w:r>
          </w:p>
        </w:tc>
      </w:tr>
      <w:tr>
        <w:tblPrEx>
          <w:tblLayout w:type="fixed"/>
          <w:tblCellMar>
            <w:top w:w="0" w:type="dxa"/>
            <w:left w:w="0" w:type="dxa"/>
            <w:bottom w:w="0" w:type="dxa"/>
            <w:right w:w="0" w:type="dxa"/>
          </w:tblCellMar>
        </w:tblPrEx>
        <w:trPr>
          <w:trHeight w:val="60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41</w:t>
            </w:r>
          </w:p>
        </w:tc>
        <w:tc>
          <w:tcPr>
            <w:tcW w:w="1039"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olor w:val="000000"/>
                <w:szCs w:val="21"/>
              </w:rPr>
            </w:pPr>
          </w:p>
        </w:tc>
        <w:tc>
          <w:tcPr>
            <w:tcW w:w="1684"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olor w:val="000000"/>
                <w:szCs w:val="21"/>
              </w:rPr>
            </w:pPr>
          </w:p>
        </w:tc>
        <w:tc>
          <w:tcPr>
            <w:tcW w:w="1290"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惠普131a红</w:t>
            </w:r>
          </w:p>
        </w:tc>
        <w:tc>
          <w:tcPr>
            <w:tcW w:w="26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格之格硒鼓 NT-CH213/543/323FM</w:t>
            </w:r>
          </w:p>
        </w:tc>
        <w:tc>
          <w:tcPr>
            <w:tcW w:w="1032"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130.00 </w:t>
            </w:r>
          </w:p>
        </w:tc>
      </w:tr>
      <w:tr>
        <w:tblPrEx>
          <w:tblLayout w:type="fixed"/>
          <w:tblCellMar>
            <w:top w:w="0" w:type="dxa"/>
            <w:left w:w="0" w:type="dxa"/>
            <w:bottom w:w="0" w:type="dxa"/>
            <w:right w:w="0" w:type="dxa"/>
          </w:tblCellMar>
        </w:tblPrEx>
        <w:trPr>
          <w:trHeight w:val="60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42</w:t>
            </w:r>
          </w:p>
        </w:tc>
        <w:tc>
          <w:tcPr>
            <w:tcW w:w="1039"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olor w:val="000000"/>
                <w:szCs w:val="21"/>
              </w:rPr>
            </w:pPr>
          </w:p>
        </w:tc>
        <w:tc>
          <w:tcPr>
            <w:tcW w:w="1684" w:type="dxa"/>
            <w:vMerge w:val="restar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HP CP1025</w:t>
            </w:r>
          </w:p>
        </w:tc>
        <w:tc>
          <w:tcPr>
            <w:tcW w:w="1290"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粉盒（彩色，如有）</w:t>
            </w:r>
          </w:p>
        </w:tc>
        <w:tc>
          <w:tcPr>
            <w:tcW w:w="26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格之格硒鼓 NT-CH310/CH350/CC329FBK</w:t>
            </w:r>
          </w:p>
        </w:tc>
        <w:tc>
          <w:tcPr>
            <w:tcW w:w="1032"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80.00 </w:t>
            </w:r>
          </w:p>
        </w:tc>
      </w:tr>
      <w:tr>
        <w:tblPrEx>
          <w:tblLayout w:type="fixed"/>
          <w:tblCellMar>
            <w:top w:w="0" w:type="dxa"/>
            <w:left w:w="0" w:type="dxa"/>
            <w:bottom w:w="0" w:type="dxa"/>
            <w:right w:w="0" w:type="dxa"/>
          </w:tblCellMar>
        </w:tblPrEx>
        <w:trPr>
          <w:trHeight w:val="60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43</w:t>
            </w:r>
          </w:p>
        </w:tc>
        <w:tc>
          <w:tcPr>
            <w:tcW w:w="1039"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olor w:val="000000"/>
                <w:szCs w:val="21"/>
              </w:rPr>
            </w:pPr>
          </w:p>
        </w:tc>
        <w:tc>
          <w:tcPr>
            <w:tcW w:w="1684"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olor w:val="000000"/>
                <w:szCs w:val="21"/>
              </w:rPr>
            </w:pPr>
          </w:p>
        </w:tc>
        <w:tc>
          <w:tcPr>
            <w:tcW w:w="1290"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惠普126A硒鼓青</w:t>
            </w:r>
          </w:p>
        </w:tc>
        <w:tc>
          <w:tcPr>
            <w:tcW w:w="26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格之格硒鼓 NT-CH311/CH351/CC329FC</w:t>
            </w:r>
          </w:p>
        </w:tc>
        <w:tc>
          <w:tcPr>
            <w:tcW w:w="1032"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80.00 </w:t>
            </w:r>
          </w:p>
        </w:tc>
      </w:tr>
      <w:tr>
        <w:tblPrEx>
          <w:tblLayout w:type="fixed"/>
          <w:tblCellMar>
            <w:top w:w="0" w:type="dxa"/>
            <w:left w:w="0" w:type="dxa"/>
            <w:bottom w:w="0" w:type="dxa"/>
            <w:right w:w="0" w:type="dxa"/>
          </w:tblCellMar>
        </w:tblPrEx>
        <w:trPr>
          <w:trHeight w:val="60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44</w:t>
            </w:r>
          </w:p>
        </w:tc>
        <w:tc>
          <w:tcPr>
            <w:tcW w:w="1039"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olor w:val="000000"/>
                <w:szCs w:val="21"/>
              </w:rPr>
            </w:pPr>
          </w:p>
        </w:tc>
        <w:tc>
          <w:tcPr>
            <w:tcW w:w="1684"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olor w:val="000000"/>
                <w:szCs w:val="21"/>
              </w:rPr>
            </w:pPr>
          </w:p>
        </w:tc>
        <w:tc>
          <w:tcPr>
            <w:tcW w:w="1290"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惠普126A硒鼓黄</w:t>
            </w:r>
          </w:p>
        </w:tc>
        <w:tc>
          <w:tcPr>
            <w:tcW w:w="26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格之格硒鼓 NT-CH312/CH352/CC329FY</w:t>
            </w:r>
          </w:p>
        </w:tc>
        <w:tc>
          <w:tcPr>
            <w:tcW w:w="1032"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80.00 </w:t>
            </w:r>
          </w:p>
        </w:tc>
      </w:tr>
      <w:tr>
        <w:tblPrEx>
          <w:tblLayout w:type="fixed"/>
          <w:tblCellMar>
            <w:top w:w="0" w:type="dxa"/>
            <w:left w:w="0" w:type="dxa"/>
            <w:bottom w:w="0" w:type="dxa"/>
            <w:right w:w="0" w:type="dxa"/>
          </w:tblCellMar>
        </w:tblPrEx>
        <w:trPr>
          <w:trHeight w:val="60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45</w:t>
            </w:r>
          </w:p>
        </w:tc>
        <w:tc>
          <w:tcPr>
            <w:tcW w:w="1039"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olor w:val="000000"/>
                <w:szCs w:val="21"/>
              </w:rPr>
            </w:pPr>
          </w:p>
        </w:tc>
        <w:tc>
          <w:tcPr>
            <w:tcW w:w="1684"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olor w:val="000000"/>
                <w:szCs w:val="21"/>
              </w:rPr>
            </w:pPr>
          </w:p>
        </w:tc>
        <w:tc>
          <w:tcPr>
            <w:tcW w:w="1290"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惠普126A硒鼓红</w:t>
            </w:r>
          </w:p>
        </w:tc>
        <w:tc>
          <w:tcPr>
            <w:tcW w:w="26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格之格硒鼓 NT-CH313/CH353/CC329FM</w:t>
            </w:r>
          </w:p>
        </w:tc>
        <w:tc>
          <w:tcPr>
            <w:tcW w:w="1032"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80.00 </w:t>
            </w:r>
          </w:p>
        </w:tc>
      </w:tr>
      <w:tr>
        <w:tblPrEx>
          <w:tblLayout w:type="fixed"/>
          <w:tblCellMar>
            <w:top w:w="0" w:type="dxa"/>
            <w:left w:w="0" w:type="dxa"/>
            <w:bottom w:w="0" w:type="dxa"/>
            <w:right w:w="0" w:type="dxa"/>
          </w:tblCellMar>
        </w:tblPrEx>
        <w:trPr>
          <w:trHeight w:val="60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46</w:t>
            </w:r>
          </w:p>
        </w:tc>
        <w:tc>
          <w:tcPr>
            <w:tcW w:w="1039"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olor w:val="000000"/>
                <w:szCs w:val="21"/>
              </w:rPr>
            </w:pPr>
          </w:p>
        </w:tc>
        <w:tc>
          <w:tcPr>
            <w:tcW w:w="1684" w:type="dxa"/>
            <w:vMerge w:val="restar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Pro CP5225dn</w:t>
            </w:r>
          </w:p>
        </w:tc>
        <w:tc>
          <w:tcPr>
            <w:tcW w:w="1290"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粉盒（彩色，如有）</w:t>
            </w:r>
          </w:p>
        </w:tc>
        <w:tc>
          <w:tcPr>
            <w:tcW w:w="26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格之格彩鼓 NT-CH740FBK</w:t>
            </w:r>
          </w:p>
        </w:tc>
        <w:tc>
          <w:tcPr>
            <w:tcW w:w="1032"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519.33 </w:t>
            </w:r>
          </w:p>
        </w:tc>
      </w:tr>
      <w:tr>
        <w:tblPrEx>
          <w:tblLayout w:type="fixed"/>
          <w:tblCellMar>
            <w:top w:w="0" w:type="dxa"/>
            <w:left w:w="0" w:type="dxa"/>
            <w:bottom w:w="0" w:type="dxa"/>
            <w:right w:w="0" w:type="dxa"/>
          </w:tblCellMar>
        </w:tblPrEx>
        <w:trPr>
          <w:trHeight w:val="60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47</w:t>
            </w:r>
          </w:p>
        </w:tc>
        <w:tc>
          <w:tcPr>
            <w:tcW w:w="1039"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olor w:val="000000"/>
                <w:szCs w:val="21"/>
              </w:rPr>
            </w:pPr>
          </w:p>
        </w:tc>
        <w:tc>
          <w:tcPr>
            <w:tcW w:w="1684"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olor w:val="000000"/>
                <w:szCs w:val="21"/>
              </w:rPr>
            </w:pPr>
          </w:p>
        </w:tc>
        <w:tc>
          <w:tcPr>
            <w:tcW w:w="1290"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惠普307AX-CE741A硒鼓青</w:t>
            </w:r>
          </w:p>
        </w:tc>
        <w:tc>
          <w:tcPr>
            <w:tcW w:w="26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格之格彩鼓 NT-CH741FC</w:t>
            </w:r>
          </w:p>
        </w:tc>
        <w:tc>
          <w:tcPr>
            <w:tcW w:w="1032"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537.33 </w:t>
            </w:r>
          </w:p>
        </w:tc>
      </w:tr>
      <w:tr>
        <w:tblPrEx>
          <w:tblLayout w:type="fixed"/>
          <w:tblCellMar>
            <w:top w:w="0" w:type="dxa"/>
            <w:left w:w="0" w:type="dxa"/>
            <w:bottom w:w="0" w:type="dxa"/>
            <w:right w:w="0" w:type="dxa"/>
          </w:tblCellMar>
        </w:tblPrEx>
        <w:trPr>
          <w:trHeight w:val="60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48</w:t>
            </w:r>
          </w:p>
        </w:tc>
        <w:tc>
          <w:tcPr>
            <w:tcW w:w="1039"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olor w:val="000000"/>
                <w:szCs w:val="21"/>
              </w:rPr>
            </w:pPr>
          </w:p>
        </w:tc>
        <w:tc>
          <w:tcPr>
            <w:tcW w:w="1684"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olor w:val="000000"/>
                <w:szCs w:val="21"/>
              </w:rPr>
            </w:pPr>
          </w:p>
        </w:tc>
        <w:tc>
          <w:tcPr>
            <w:tcW w:w="1290"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惠普307AX-CE742A硒鼓黄</w:t>
            </w:r>
          </w:p>
        </w:tc>
        <w:tc>
          <w:tcPr>
            <w:tcW w:w="26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格之格彩鼓 NT-CH742FY</w:t>
            </w:r>
          </w:p>
        </w:tc>
        <w:tc>
          <w:tcPr>
            <w:tcW w:w="1032"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537.33 </w:t>
            </w:r>
          </w:p>
        </w:tc>
      </w:tr>
      <w:tr>
        <w:tblPrEx>
          <w:tblLayout w:type="fixed"/>
          <w:tblCellMar>
            <w:top w:w="0" w:type="dxa"/>
            <w:left w:w="0" w:type="dxa"/>
            <w:bottom w:w="0" w:type="dxa"/>
            <w:right w:w="0" w:type="dxa"/>
          </w:tblCellMar>
        </w:tblPrEx>
        <w:trPr>
          <w:trHeight w:val="60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49</w:t>
            </w:r>
          </w:p>
        </w:tc>
        <w:tc>
          <w:tcPr>
            <w:tcW w:w="1039"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olor w:val="000000"/>
                <w:szCs w:val="21"/>
              </w:rPr>
            </w:pPr>
          </w:p>
        </w:tc>
        <w:tc>
          <w:tcPr>
            <w:tcW w:w="1684"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olor w:val="000000"/>
                <w:szCs w:val="21"/>
              </w:rPr>
            </w:pPr>
          </w:p>
        </w:tc>
        <w:tc>
          <w:tcPr>
            <w:tcW w:w="1290"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惠普307AX-CE743A硒鼓红</w:t>
            </w:r>
          </w:p>
        </w:tc>
        <w:tc>
          <w:tcPr>
            <w:tcW w:w="26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格之格彩鼓 NT-CH743FM</w:t>
            </w:r>
          </w:p>
        </w:tc>
        <w:tc>
          <w:tcPr>
            <w:tcW w:w="1032"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537.33 </w:t>
            </w:r>
          </w:p>
        </w:tc>
      </w:tr>
      <w:tr>
        <w:tblPrEx>
          <w:tblLayout w:type="fixed"/>
          <w:tblCellMar>
            <w:top w:w="0" w:type="dxa"/>
            <w:left w:w="0" w:type="dxa"/>
            <w:bottom w:w="0" w:type="dxa"/>
            <w:right w:w="0" w:type="dxa"/>
          </w:tblCellMar>
        </w:tblPrEx>
        <w:trPr>
          <w:trHeight w:val="60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50</w:t>
            </w:r>
          </w:p>
        </w:tc>
        <w:tc>
          <w:tcPr>
            <w:tcW w:w="1039"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olor w:val="000000"/>
                <w:szCs w:val="21"/>
              </w:rPr>
            </w:pPr>
          </w:p>
        </w:tc>
        <w:tc>
          <w:tcPr>
            <w:tcW w:w="1684" w:type="dxa"/>
            <w:vMerge w:val="restar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惠普 200</w:t>
            </w:r>
          </w:p>
        </w:tc>
        <w:tc>
          <w:tcPr>
            <w:tcW w:w="1290"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粉盒（彩色，如有）</w:t>
            </w:r>
          </w:p>
        </w:tc>
        <w:tc>
          <w:tcPr>
            <w:tcW w:w="26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格之格硒鼓 NT-CH210/540/320XFBK</w:t>
            </w:r>
          </w:p>
        </w:tc>
        <w:tc>
          <w:tcPr>
            <w:tcW w:w="1032"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130.00 </w:t>
            </w:r>
          </w:p>
        </w:tc>
      </w:tr>
      <w:tr>
        <w:tblPrEx>
          <w:tblLayout w:type="fixed"/>
          <w:tblCellMar>
            <w:top w:w="0" w:type="dxa"/>
            <w:left w:w="0" w:type="dxa"/>
            <w:bottom w:w="0" w:type="dxa"/>
            <w:right w:w="0" w:type="dxa"/>
          </w:tblCellMar>
        </w:tblPrEx>
        <w:trPr>
          <w:trHeight w:val="60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51</w:t>
            </w:r>
          </w:p>
        </w:tc>
        <w:tc>
          <w:tcPr>
            <w:tcW w:w="1039"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olor w:val="000000"/>
                <w:szCs w:val="21"/>
              </w:rPr>
            </w:pPr>
          </w:p>
        </w:tc>
        <w:tc>
          <w:tcPr>
            <w:tcW w:w="1684"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olor w:val="000000"/>
                <w:szCs w:val="21"/>
              </w:rPr>
            </w:pPr>
          </w:p>
        </w:tc>
        <w:tc>
          <w:tcPr>
            <w:tcW w:w="1290"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惠普131X硒鼓青</w:t>
            </w:r>
          </w:p>
        </w:tc>
        <w:tc>
          <w:tcPr>
            <w:tcW w:w="26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格之格硒鼓 NT-CH211/541/321FC</w:t>
            </w:r>
          </w:p>
        </w:tc>
        <w:tc>
          <w:tcPr>
            <w:tcW w:w="1032"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130.00 </w:t>
            </w:r>
          </w:p>
        </w:tc>
      </w:tr>
      <w:tr>
        <w:tblPrEx>
          <w:tblLayout w:type="fixed"/>
          <w:tblCellMar>
            <w:top w:w="0" w:type="dxa"/>
            <w:left w:w="0" w:type="dxa"/>
            <w:bottom w:w="0" w:type="dxa"/>
            <w:right w:w="0" w:type="dxa"/>
          </w:tblCellMar>
        </w:tblPrEx>
        <w:trPr>
          <w:trHeight w:val="60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52</w:t>
            </w:r>
          </w:p>
        </w:tc>
        <w:tc>
          <w:tcPr>
            <w:tcW w:w="1039"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olor w:val="000000"/>
                <w:szCs w:val="21"/>
              </w:rPr>
            </w:pPr>
          </w:p>
        </w:tc>
        <w:tc>
          <w:tcPr>
            <w:tcW w:w="1684"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olor w:val="000000"/>
                <w:szCs w:val="21"/>
              </w:rPr>
            </w:pPr>
          </w:p>
        </w:tc>
        <w:tc>
          <w:tcPr>
            <w:tcW w:w="1290"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惠普131X硒鼓黄</w:t>
            </w:r>
          </w:p>
        </w:tc>
        <w:tc>
          <w:tcPr>
            <w:tcW w:w="26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格之格硒鼓 NT-CH212/542/322FY</w:t>
            </w:r>
          </w:p>
        </w:tc>
        <w:tc>
          <w:tcPr>
            <w:tcW w:w="1032"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130.00 </w:t>
            </w:r>
          </w:p>
        </w:tc>
      </w:tr>
      <w:tr>
        <w:tblPrEx>
          <w:tblLayout w:type="fixed"/>
          <w:tblCellMar>
            <w:top w:w="0" w:type="dxa"/>
            <w:left w:w="0" w:type="dxa"/>
            <w:bottom w:w="0" w:type="dxa"/>
            <w:right w:w="0" w:type="dxa"/>
          </w:tblCellMar>
        </w:tblPrEx>
        <w:trPr>
          <w:trHeight w:val="60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53</w:t>
            </w:r>
          </w:p>
        </w:tc>
        <w:tc>
          <w:tcPr>
            <w:tcW w:w="1039"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olor w:val="000000"/>
                <w:szCs w:val="21"/>
              </w:rPr>
            </w:pPr>
          </w:p>
        </w:tc>
        <w:tc>
          <w:tcPr>
            <w:tcW w:w="1684"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olor w:val="000000"/>
                <w:szCs w:val="21"/>
              </w:rPr>
            </w:pPr>
          </w:p>
        </w:tc>
        <w:tc>
          <w:tcPr>
            <w:tcW w:w="1290"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惠普131X硒鼓红</w:t>
            </w:r>
          </w:p>
        </w:tc>
        <w:tc>
          <w:tcPr>
            <w:tcW w:w="26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格之格硒鼓 NT-CH213/543/323FM</w:t>
            </w:r>
          </w:p>
        </w:tc>
        <w:tc>
          <w:tcPr>
            <w:tcW w:w="1032"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130.00 </w:t>
            </w:r>
          </w:p>
        </w:tc>
      </w:tr>
      <w:tr>
        <w:tblPrEx>
          <w:tblLayout w:type="fixed"/>
          <w:tblCellMar>
            <w:top w:w="0" w:type="dxa"/>
            <w:left w:w="0" w:type="dxa"/>
            <w:bottom w:w="0" w:type="dxa"/>
            <w:right w:w="0" w:type="dxa"/>
          </w:tblCellMar>
        </w:tblPrEx>
        <w:trPr>
          <w:trHeight w:val="60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54</w:t>
            </w:r>
          </w:p>
        </w:tc>
        <w:tc>
          <w:tcPr>
            <w:tcW w:w="1039"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olor w:val="000000"/>
                <w:szCs w:val="21"/>
              </w:rPr>
            </w:pPr>
          </w:p>
        </w:tc>
        <w:tc>
          <w:tcPr>
            <w:tcW w:w="1684" w:type="dxa"/>
            <w:vMerge w:val="restar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惠普CP5225dn</w:t>
            </w:r>
          </w:p>
        </w:tc>
        <w:tc>
          <w:tcPr>
            <w:tcW w:w="1290"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粉盒（彩色，如有）</w:t>
            </w:r>
          </w:p>
        </w:tc>
        <w:tc>
          <w:tcPr>
            <w:tcW w:w="26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格之格彩鼓 NT-CH740FBK</w:t>
            </w:r>
          </w:p>
        </w:tc>
        <w:tc>
          <w:tcPr>
            <w:tcW w:w="1032"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507.67 </w:t>
            </w:r>
          </w:p>
        </w:tc>
      </w:tr>
      <w:tr>
        <w:tblPrEx>
          <w:tblLayout w:type="fixed"/>
          <w:tblCellMar>
            <w:top w:w="0" w:type="dxa"/>
            <w:left w:w="0" w:type="dxa"/>
            <w:bottom w:w="0" w:type="dxa"/>
            <w:right w:w="0" w:type="dxa"/>
          </w:tblCellMar>
        </w:tblPrEx>
        <w:trPr>
          <w:trHeight w:val="60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55</w:t>
            </w:r>
          </w:p>
        </w:tc>
        <w:tc>
          <w:tcPr>
            <w:tcW w:w="1039"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olor w:val="000000"/>
                <w:szCs w:val="21"/>
              </w:rPr>
            </w:pPr>
          </w:p>
        </w:tc>
        <w:tc>
          <w:tcPr>
            <w:tcW w:w="1684"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olor w:val="000000"/>
                <w:szCs w:val="21"/>
              </w:rPr>
            </w:pPr>
          </w:p>
        </w:tc>
        <w:tc>
          <w:tcPr>
            <w:tcW w:w="1290"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惠普307AX-CE741A硒鼓青</w:t>
            </w:r>
          </w:p>
        </w:tc>
        <w:tc>
          <w:tcPr>
            <w:tcW w:w="26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格之格彩鼓 NT-CH741FC</w:t>
            </w:r>
          </w:p>
        </w:tc>
        <w:tc>
          <w:tcPr>
            <w:tcW w:w="1032"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537.33 </w:t>
            </w:r>
          </w:p>
        </w:tc>
      </w:tr>
      <w:tr>
        <w:tblPrEx>
          <w:tblLayout w:type="fixed"/>
          <w:tblCellMar>
            <w:top w:w="0" w:type="dxa"/>
            <w:left w:w="0" w:type="dxa"/>
            <w:bottom w:w="0" w:type="dxa"/>
            <w:right w:w="0" w:type="dxa"/>
          </w:tblCellMar>
        </w:tblPrEx>
        <w:trPr>
          <w:trHeight w:val="60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56</w:t>
            </w:r>
          </w:p>
        </w:tc>
        <w:tc>
          <w:tcPr>
            <w:tcW w:w="1039"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olor w:val="000000"/>
                <w:szCs w:val="21"/>
              </w:rPr>
            </w:pPr>
          </w:p>
        </w:tc>
        <w:tc>
          <w:tcPr>
            <w:tcW w:w="1684"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olor w:val="000000"/>
                <w:szCs w:val="21"/>
              </w:rPr>
            </w:pPr>
          </w:p>
        </w:tc>
        <w:tc>
          <w:tcPr>
            <w:tcW w:w="1290"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惠普307AX-CE742A硒鼓黄</w:t>
            </w:r>
          </w:p>
        </w:tc>
        <w:tc>
          <w:tcPr>
            <w:tcW w:w="26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格之格彩鼓 NT-CH742FY</w:t>
            </w:r>
          </w:p>
        </w:tc>
        <w:tc>
          <w:tcPr>
            <w:tcW w:w="1032"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537.33 </w:t>
            </w:r>
          </w:p>
        </w:tc>
      </w:tr>
      <w:tr>
        <w:tblPrEx>
          <w:tblLayout w:type="fixed"/>
          <w:tblCellMar>
            <w:top w:w="0" w:type="dxa"/>
            <w:left w:w="0" w:type="dxa"/>
            <w:bottom w:w="0" w:type="dxa"/>
            <w:right w:w="0" w:type="dxa"/>
          </w:tblCellMar>
        </w:tblPrEx>
        <w:trPr>
          <w:trHeight w:val="60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57</w:t>
            </w:r>
          </w:p>
        </w:tc>
        <w:tc>
          <w:tcPr>
            <w:tcW w:w="1039"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olor w:val="000000"/>
                <w:szCs w:val="21"/>
              </w:rPr>
            </w:pPr>
          </w:p>
        </w:tc>
        <w:tc>
          <w:tcPr>
            <w:tcW w:w="1684"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olor w:val="000000"/>
                <w:szCs w:val="21"/>
              </w:rPr>
            </w:pPr>
          </w:p>
        </w:tc>
        <w:tc>
          <w:tcPr>
            <w:tcW w:w="1290"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惠普307AX-CE743A硒鼓红</w:t>
            </w:r>
          </w:p>
        </w:tc>
        <w:tc>
          <w:tcPr>
            <w:tcW w:w="26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格之格彩鼓 NT-CH743FM</w:t>
            </w:r>
          </w:p>
        </w:tc>
        <w:tc>
          <w:tcPr>
            <w:tcW w:w="1032"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537.33 </w:t>
            </w:r>
          </w:p>
        </w:tc>
      </w:tr>
      <w:tr>
        <w:tblPrEx>
          <w:tblLayout w:type="fixed"/>
          <w:tblCellMar>
            <w:top w:w="0" w:type="dxa"/>
            <w:left w:w="0" w:type="dxa"/>
            <w:bottom w:w="0" w:type="dxa"/>
            <w:right w:w="0" w:type="dxa"/>
          </w:tblCellMar>
        </w:tblPrEx>
        <w:trPr>
          <w:trHeight w:val="60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58</w:t>
            </w:r>
          </w:p>
        </w:tc>
        <w:tc>
          <w:tcPr>
            <w:tcW w:w="1039"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olor w:val="000000"/>
                <w:szCs w:val="21"/>
              </w:rPr>
            </w:pPr>
          </w:p>
        </w:tc>
        <w:tc>
          <w:tcPr>
            <w:tcW w:w="1684"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A78</w:t>
            </w:r>
          </w:p>
        </w:tc>
        <w:tc>
          <w:tcPr>
            <w:tcW w:w="1290"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硒鼓</w:t>
            </w:r>
          </w:p>
        </w:tc>
        <w:tc>
          <w:tcPr>
            <w:tcW w:w="26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惠普硒鼓HP 1536</w:t>
            </w:r>
          </w:p>
        </w:tc>
        <w:tc>
          <w:tcPr>
            <w:tcW w:w="1032"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76.67 </w:t>
            </w:r>
          </w:p>
        </w:tc>
      </w:tr>
      <w:tr>
        <w:tblPrEx>
          <w:tblLayout w:type="fixed"/>
          <w:tblCellMar>
            <w:top w:w="0" w:type="dxa"/>
            <w:left w:w="0" w:type="dxa"/>
            <w:bottom w:w="0" w:type="dxa"/>
            <w:right w:w="0" w:type="dxa"/>
          </w:tblCellMar>
        </w:tblPrEx>
        <w:trPr>
          <w:trHeight w:val="60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59</w:t>
            </w:r>
          </w:p>
        </w:tc>
        <w:tc>
          <w:tcPr>
            <w:tcW w:w="1039"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olor w:val="000000"/>
                <w:szCs w:val="21"/>
              </w:rPr>
            </w:pPr>
          </w:p>
        </w:tc>
        <w:tc>
          <w:tcPr>
            <w:tcW w:w="1684"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80A(plus+）黑色</w:t>
            </w:r>
          </w:p>
        </w:tc>
        <w:tc>
          <w:tcPr>
            <w:tcW w:w="1290"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碳粉</w:t>
            </w:r>
          </w:p>
        </w:tc>
        <w:tc>
          <w:tcPr>
            <w:tcW w:w="26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HPLaser Jet Pro400 MFP M425dw</w:t>
            </w:r>
          </w:p>
        </w:tc>
        <w:tc>
          <w:tcPr>
            <w:tcW w:w="1032"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250.33 </w:t>
            </w:r>
          </w:p>
        </w:tc>
      </w:tr>
      <w:tr>
        <w:tblPrEx>
          <w:tblLayout w:type="fixed"/>
          <w:tblCellMar>
            <w:top w:w="0" w:type="dxa"/>
            <w:left w:w="0" w:type="dxa"/>
            <w:bottom w:w="0" w:type="dxa"/>
            <w:right w:w="0" w:type="dxa"/>
          </w:tblCellMar>
        </w:tblPrEx>
        <w:trPr>
          <w:trHeight w:val="60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60</w:t>
            </w:r>
          </w:p>
        </w:tc>
        <w:tc>
          <w:tcPr>
            <w:tcW w:w="1039"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olor w:val="000000"/>
                <w:szCs w:val="21"/>
              </w:rPr>
            </w:pPr>
          </w:p>
        </w:tc>
        <w:tc>
          <w:tcPr>
            <w:tcW w:w="1684"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HP Laser Jet 1020 plus</w:t>
            </w:r>
          </w:p>
        </w:tc>
        <w:tc>
          <w:tcPr>
            <w:tcW w:w="1290"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硒鼓</w:t>
            </w:r>
          </w:p>
        </w:tc>
        <w:tc>
          <w:tcPr>
            <w:tcW w:w="26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HP Laser Jet 1020 plus</w:t>
            </w:r>
          </w:p>
        </w:tc>
        <w:tc>
          <w:tcPr>
            <w:tcW w:w="1032"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86.00 </w:t>
            </w:r>
          </w:p>
        </w:tc>
      </w:tr>
      <w:tr>
        <w:tblPrEx>
          <w:tblLayout w:type="fixed"/>
          <w:tblCellMar>
            <w:top w:w="0" w:type="dxa"/>
            <w:left w:w="0" w:type="dxa"/>
            <w:bottom w:w="0" w:type="dxa"/>
            <w:right w:w="0" w:type="dxa"/>
          </w:tblCellMar>
        </w:tblPrEx>
        <w:trPr>
          <w:trHeight w:val="60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61</w:t>
            </w:r>
          </w:p>
        </w:tc>
        <w:tc>
          <w:tcPr>
            <w:tcW w:w="1039"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olor w:val="000000"/>
                <w:szCs w:val="21"/>
              </w:rPr>
            </w:pPr>
          </w:p>
        </w:tc>
        <w:tc>
          <w:tcPr>
            <w:tcW w:w="1684"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惠普打印机CC388A</w:t>
            </w:r>
          </w:p>
        </w:tc>
        <w:tc>
          <w:tcPr>
            <w:tcW w:w="1290"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硒鼓</w:t>
            </w:r>
          </w:p>
        </w:tc>
        <w:tc>
          <w:tcPr>
            <w:tcW w:w="26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CC388A</w:t>
            </w:r>
          </w:p>
        </w:tc>
        <w:tc>
          <w:tcPr>
            <w:tcW w:w="1032"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69.33 </w:t>
            </w:r>
          </w:p>
        </w:tc>
      </w:tr>
      <w:tr>
        <w:tblPrEx>
          <w:tblLayout w:type="fixed"/>
          <w:tblCellMar>
            <w:top w:w="0" w:type="dxa"/>
            <w:left w:w="0" w:type="dxa"/>
            <w:bottom w:w="0" w:type="dxa"/>
            <w:right w:w="0" w:type="dxa"/>
          </w:tblCellMar>
        </w:tblPrEx>
        <w:trPr>
          <w:trHeight w:val="60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62</w:t>
            </w:r>
          </w:p>
        </w:tc>
        <w:tc>
          <w:tcPr>
            <w:tcW w:w="1039"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olor w:val="000000"/>
                <w:szCs w:val="21"/>
              </w:rPr>
            </w:pPr>
          </w:p>
        </w:tc>
        <w:tc>
          <w:tcPr>
            <w:tcW w:w="1684"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环保激光打印KST-2612A （易加粉）</w:t>
            </w:r>
          </w:p>
        </w:tc>
        <w:tc>
          <w:tcPr>
            <w:tcW w:w="1290"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硒鼓</w:t>
            </w:r>
          </w:p>
        </w:tc>
        <w:tc>
          <w:tcPr>
            <w:tcW w:w="26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环保激光打印KST-2612A （易加粉）</w:t>
            </w:r>
          </w:p>
        </w:tc>
        <w:tc>
          <w:tcPr>
            <w:tcW w:w="1032"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85.67 </w:t>
            </w:r>
          </w:p>
        </w:tc>
      </w:tr>
      <w:tr>
        <w:tblPrEx>
          <w:tblLayout w:type="fixed"/>
          <w:tblCellMar>
            <w:top w:w="0" w:type="dxa"/>
            <w:left w:w="0" w:type="dxa"/>
            <w:bottom w:w="0" w:type="dxa"/>
            <w:right w:w="0" w:type="dxa"/>
          </w:tblCellMar>
        </w:tblPrEx>
        <w:trPr>
          <w:trHeight w:val="60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63</w:t>
            </w:r>
          </w:p>
        </w:tc>
        <w:tc>
          <w:tcPr>
            <w:tcW w:w="1039"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olor w:val="000000"/>
                <w:szCs w:val="21"/>
              </w:rPr>
            </w:pPr>
          </w:p>
        </w:tc>
        <w:tc>
          <w:tcPr>
            <w:tcW w:w="1684"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HP400 M401D双面打印机</w:t>
            </w:r>
          </w:p>
        </w:tc>
        <w:tc>
          <w:tcPr>
            <w:tcW w:w="1290"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spacing w:line="360" w:lineRule="auto"/>
              <w:jc w:val="center"/>
              <w:rPr>
                <w:rFonts w:ascii="宋体" w:hAnsi="宋体"/>
                <w:color w:val="000000"/>
              </w:rPr>
            </w:pPr>
          </w:p>
        </w:tc>
        <w:tc>
          <w:tcPr>
            <w:tcW w:w="26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硒鼓</w:t>
            </w:r>
          </w:p>
        </w:tc>
        <w:tc>
          <w:tcPr>
            <w:tcW w:w="1032"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91.33 </w:t>
            </w:r>
          </w:p>
        </w:tc>
      </w:tr>
      <w:tr>
        <w:tblPrEx>
          <w:tblLayout w:type="fixed"/>
          <w:tblCellMar>
            <w:top w:w="0" w:type="dxa"/>
            <w:left w:w="0" w:type="dxa"/>
            <w:bottom w:w="0" w:type="dxa"/>
            <w:right w:w="0" w:type="dxa"/>
          </w:tblCellMar>
        </w:tblPrEx>
        <w:trPr>
          <w:trHeight w:val="60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64</w:t>
            </w:r>
          </w:p>
        </w:tc>
        <w:tc>
          <w:tcPr>
            <w:tcW w:w="1039" w:type="dxa"/>
            <w:vMerge w:val="restart"/>
            <w:tcBorders>
              <w:top w:val="nil"/>
              <w:left w:val="nil"/>
              <w:bottom w:val="nil"/>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佳能</w:t>
            </w:r>
          </w:p>
        </w:tc>
        <w:tc>
          <w:tcPr>
            <w:tcW w:w="1684" w:type="dxa"/>
            <w:vMerge w:val="restar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IX6580</w:t>
            </w:r>
          </w:p>
        </w:tc>
        <w:tc>
          <w:tcPr>
            <w:tcW w:w="1290"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PGI-825墨盒</w:t>
            </w:r>
          </w:p>
        </w:tc>
        <w:tc>
          <w:tcPr>
            <w:tcW w:w="26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格之格墨盒 NC-00825BK</w:t>
            </w:r>
          </w:p>
        </w:tc>
        <w:tc>
          <w:tcPr>
            <w:tcW w:w="1032"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24.33 </w:t>
            </w:r>
          </w:p>
        </w:tc>
      </w:tr>
      <w:tr>
        <w:tblPrEx>
          <w:tblLayout w:type="fixed"/>
          <w:tblCellMar>
            <w:top w:w="0" w:type="dxa"/>
            <w:left w:w="0" w:type="dxa"/>
            <w:bottom w:w="0" w:type="dxa"/>
            <w:right w:w="0" w:type="dxa"/>
          </w:tblCellMar>
        </w:tblPrEx>
        <w:trPr>
          <w:trHeight w:val="60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65</w:t>
            </w:r>
          </w:p>
        </w:tc>
        <w:tc>
          <w:tcPr>
            <w:tcW w:w="1039" w:type="dxa"/>
            <w:vMerge w:val="continue"/>
            <w:tcBorders>
              <w:top w:val="nil"/>
              <w:left w:val="nil"/>
              <w:bottom w:val="nil"/>
              <w:right w:val="single" w:color="000000" w:sz="4" w:space="0"/>
            </w:tcBorders>
            <w:shd w:val="clear" w:color="auto" w:fill="auto"/>
            <w:vAlign w:val="center"/>
          </w:tcPr>
          <w:p>
            <w:pPr>
              <w:widowControl/>
              <w:jc w:val="left"/>
              <w:rPr>
                <w:rFonts w:ascii="宋体" w:hAnsi="宋体"/>
                <w:color w:val="000000"/>
                <w:szCs w:val="21"/>
              </w:rPr>
            </w:pPr>
          </w:p>
        </w:tc>
        <w:tc>
          <w:tcPr>
            <w:tcW w:w="1684"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olor w:val="000000"/>
                <w:szCs w:val="21"/>
              </w:rPr>
            </w:pPr>
          </w:p>
        </w:tc>
        <w:tc>
          <w:tcPr>
            <w:tcW w:w="1290"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PGI-826墨盒</w:t>
            </w:r>
          </w:p>
        </w:tc>
        <w:tc>
          <w:tcPr>
            <w:tcW w:w="26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格之格墨盒 NC-00826BK C  M  Y（单个）</w:t>
            </w:r>
          </w:p>
        </w:tc>
        <w:tc>
          <w:tcPr>
            <w:tcW w:w="1032"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23.33 </w:t>
            </w:r>
          </w:p>
        </w:tc>
      </w:tr>
      <w:tr>
        <w:tblPrEx>
          <w:tblLayout w:type="fixed"/>
          <w:tblCellMar>
            <w:top w:w="0" w:type="dxa"/>
            <w:left w:w="0" w:type="dxa"/>
            <w:bottom w:w="0" w:type="dxa"/>
            <w:right w:w="0" w:type="dxa"/>
          </w:tblCellMar>
        </w:tblPrEx>
        <w:trPr>
          <w:trHeight w:val="60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66</w:t>
            </w:r>
          </w:p>
        </w:tc>
        <w:tc>
          <w:tcPr>
            <w:tcW w:w="1039" w:type="dxa"/>
            <w:vMerge w:val="continue"/>
            <w:tcBorders>
              <w:top w:val="nil"/>
              <w:left w:val="nil"/>
              <w:bottom w:val="nil"/>
              <w:right w:val="single" w:color="000000" w:sz="4" w:space="0"/>
            </w:tcBorders>
            <w:shd w:val="clear" w:color="auto" w:fill="auto"/>
            <w:vAlign w:val="center"/>
          </w:tcPr>
          <w:p>
            <w:pPr>
              <w:widowControl/>
              <w:jc w:val="left"/>
              <w:rPr>
                <w:rFonts w:ascii="宋体" w:hAnsi="宋体"/>
                <w:color w:val="000000"/>
                <w:szCs w:val="21"/>
              </w:rPr>
            </w:pPr>
          </w:p>
        </w:tc>
        <w:tc>
          <w:tcPr>
            <w:tcW w:w="1684"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Canon MF246dn</w:t>
            </w:r>
          </w:p>
        </w:tc>
        <w:tc>
          <w:tcPr>
            <w:tcW w:w="1290"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硒鼓</w:t>
            </w:r>
          </w:p>
        </w:tc>
        <w:tc>
          <w:tcPr>
            <w:tcW w:w="26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环保激光打印KST-CRG337</w:t>
            </w:r>
          </w:p>
        </w:tc>
        <w:tc>
          <w:tcPr>
            <w:tcW w:w="1032"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76.33 </w:t>
            </w:r>
          </w:p>
        </w:tc>
      </w:tr>
      <w:tr>
        <w:tblPrEx>
          <w:tblLayout w:type="fixed"/>
          <w:tblCellMar>
            <w:top w:w="0" w:type="dxa"/>
            <w:left w:w="0" w:type="dxa"/>
            <w:bottom w:w="0" w:type="dxa"/>
            <w:right w:w="0" w:type="dxa"/>
          </w:tblCellMar>
        </w:tblPrEx>
        <w:trPr>
          <w:trHeight w:val="60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67</w:t>
            </w:r>
          </w:p>
        </w:tc>
        <w:tc>
          <w:tcPr>
            <w:tcW w:w="1039" w:type="dxa"/>
            <w:vMerge w:val="continue"/>
            <w:tcBorders>
              <w:top w:val="nil"/>
              <w:left w:val="nil"/>
              <w:bottom w:val="nil"/>
              <w:right w:val="single" w:color="000000" w:sz="4" w:space="0"/>
            </w:tcBorders>
            <w:shd w:val="clear" w:color="auto" w:fill="auto"/>
            <w:vAlign w:val="center"/>
          </w:tcPr>
          <w:p>
            <w:pPr>
              <w:widowControl/>
              <w:jc w:val="left"/>
              <w:rPr>
                <w:rFonts w:ascii="宋体" w:hAnsi="宋体"/>
                <w:color w:val="000000"/>
                <w:szCs w:val="21"/>
              </w:rPr>
            </w:pPr>
          </w:p>
        </w:tc>
        <w:tc>
          <w:tcPr>
            <w:tcW w:w="1684"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佳能MF752cdw</w:t>
            </w:r>
          </w:p>
        </w:tc>
        <w:tc>
          <w:tcPr>
            <w:tcW w:w="1290"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黑色硒鼓</w:t>
            </w:r>
          </w:p>
        </w:tc>
        <w:tc>
          <w:tcPr>
            <w:tcW w:w="26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格之格CRG069带芯片</w:t>
            </w:r>
          </w:p>
        </w:tc>
        <w:tc>
          <w:tcPr>
            <w:tcW w:w="1032"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321.00 </w:t>
            </w:r>
          </w:p>
        </w:tc>
      </w:tr>
      <w:tr>
        <w:tblPrEx>
          <w:tblLayout w:type="fixed"/>
          <w:tblCellMar>
            <w:top w:w="0" w:type="dxa"/>
            <w:left w:w="0" w:type="dxa"/>
            <w:bottom w:w="0" w:type="dxa"/>
            <w:right w:w="0" w:type="dxa"/>
          </w:tblCellMar>
        </w:tblPrEx>
        <w:trPr>
          <w:trHeight w:val="60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68</w:t>
            </w:r>
          </w:p>
        </w:tc>
        <w:tc>
          <w:tcPr>
            <w:tcW w:w="1039" w:type="dxa"/>
            <w:vMerge w:val="continue"/>
            <w:tcBorders>
              <w:top w:val="nil"/>
              <w:left w:val="nil"/>
              <w:bottom w:val="nil"/>
              <w:right w:val="single" w:color="000000" w:sz="4" w:space="0"/>
            </w:tcBorders>
            <w:shd w:val="clear" w:color="auto" w:fill="auto"/>
            <w:vAlign w:val="center"/>
          </w:tcPr>
          <w:p>
            <w:pPr>
              <w:widowControl/>
              <w:jc w:val="left"/>
              <w:rPr>
                <w:rFonts w:ascii="宋体" w:hAnsi="宋体"/>
                <w:color w:val="000000"/>
                <w:szCs w:val="21"/>
              </w:rPr>
            </w:pPr>
          </w:p>
        </w:tc>
        <w:tc>
          <w:tcPr>
            <w:tcW w:w="1684"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佳能MF752cdw</w:t>
            </w:r>
          </w:p>
        </w:tc>
        <w:tc>
          <w:tcPr>
            <w:tcW w:w="1290"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彩色硒鼓</w:t>
            </w:r>
          </w:p>
        </w:tc>
        <w:tc>
          <w:tcPr>
            <w:tcW w:w="26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格之格CRG069带芯片</w:t>
            </w:r>
          </w:p>
        </w:tc>
        <w:tc>
          <w:tcPr>
            <w:tcW w:w="1032"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321.00 </w:t>
            </w:r>
          </w:p>
        </w:tc>
      </w:tr>
      <w:tr>
        <w:tblPrEx>
          <w:tblLayout w:type="fixed"/>
          <w:tblCellMar>
            <w:top w:w="0" w:type="dxa"/>
            <w:left w:w="0" w:type="dxa"/>
            <w:bottom w:w="0" w:type="dxa"/>
            <w:right w:w="0" w:type="dxa"/>
          </w:tblCellMar>
        </w:tblPrEx>
        <w:trPr>
          <w:trHeight w:val="60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69</w:t>
            </w:r>
          </w:p>
        </w:tc>
        <w:tc>
          <w:tcPr>
            <w:tcW w:w="1039" w:type="dxa"/>
            <w:vMerge w:val="restart"/>
            <w:tcBorders>
              <w:top w:val="single" w:color="000000" w:sz="4" w:space="0"/>
              <w:left w:val="nil"/>
              <w:bottom w:val="nil"/>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联想</w:t>
            </w:r>
          </w:p>
        </w:tc>
        <w:tc>
          <w:tcPr>
            <w:tcW w:w="1684" w:type="dxa"/>
            <w:vMerge w:val="restar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LJ2600D</w:t>
            </w:r>
          </w:p>
        </w:tc>
        <w:tc>
          <w:tcPr>
            <w:tcW w:w="1290"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粉盒（黑）</w:t>
            </w:r>
          </w:p>
        </w:tc>
        <w:tc>
          <w:tcPr>
            <w:tcW w:w="26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LT2441/2641X大容量2600页</w:t>
            </w:r>
          </w:p>
        </w:tc>
        <w:tc>
          <w:tcPr>
            <w:tcW w:w="1032"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75.33 </w:t>
            </w:r>
          </w:p>
        </w:tc>
      </w:tr>
      <w:tr>
        <w:tblPrEx>
          <w:tblLayout w:type="fixed"/>
          <w:tblCellMar>
            <w:top w:w="0" w:type="dxa"/>
            <w:left w:w="0" w:type="dxa"/>
            <w:bottom w:w="0" w:type="dxa"/>
            <w:right w:w="0" w:type="dxa"/>
          </w:tblCellMar>
        </w:tblPrEx>
        <w:trPr>
          <w:trHeight w:val="60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70</w:t>
            </w:r>
          </w:p>
        </w:tc>
        <w:tc>
          <w:tcPr>
            <w:tcW w:w="1039" w:type="dxa"/>
            <w:vMerge w:val="continue"/>
            <w:tcBorders>
              <w:top w:val="single" w:color="000000" w:sz="4" w:space="0"/>
              <w:left w:val="nil"/>
              <w:bottom w:val="nil"/>
              <w:right w:val="single" w:color="000000" w:sz="4" w:space="0"/>
            </w:tcBorders>
            <w:shd w:val="clear" w:color="auto" w:fill="auto"/>
            <w:vAlign w:val="center"/>
          </w:tcPr>
          <w:p>
            <w:pPr>
              <w:widowControl/>
              <w:jc w:val="left"/>
              <w:rPr>
                <w:rFonts w:ascii="宋体" w:hAnsi="宋体"/>
                <w:color w:val="000000"/>
                <w:szCs w:val="21"/>
              </w:rPr>
            </w:pPr>
          </w:p>
        </w:tc>
        <w:tc>
          <w:tcPr>
            <w:tcW w:w="1684"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olor w:val="000000"/>
                <w:szCs w:val="21"/>
              </w:rPr>
            </w:pPr>
          </w:p>
        </w:tc>
        <w:tc>
          <w:tcPr>
            <w:tcW w:w="1290"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鼓架</w:t>
            </w:r>
          </w:p>
        </w:tc>
        <w:tc>
          <w:tcPr>
            <w:tcW w:w="26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LD2441/LD2641碳粉盒鼓组件</w:t>
            </w:r>
          </w:p>
        </w:tc>
        <w:tc>
          <w:tcPr>
            <w:tcW w:w="1032"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129.33 </w:t>
            </w:r>
          </w:p>
        </w:tc>
      </w:tr>
      <w:tr>
        <w:tblPrEx>
          <w:tblLayout w:type="fixed"/>
          <w:tblCellMar>
            <w:top w:w="0" w:type="dxa"/>
            <w:left w:w="0" w:type="dxa"/>
            <w:bottom w:w="0" w:type="dxa"/>
            <w:right w:w="0" w:type="dxa"/>
          </w:tblCellMar>
        </w:tblPrEx>
        <w:trPr>
          <w:trHeight w:val="60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71</w:t>
            </w:r>
          </w:p>
        </w:tc>
        <w:tc>
          <w:tcPr>
            <w:tcW w:w="1039" w:type="dxa"/>
            <w:vMerge w:val="continue"/>
            <w:tcBorders>
              <w:top w:val="single" w:color="000000" w:sz="4" w:space="0"/>
              <w:left w:val="nil"/>
              <w:bottom w:val="nil"/>
              <w:right w:val="single" w:color="000000" w:sz="4" w:space="0"/>
            </w:tcBorders>
            <w:shd w:val="clear" w:color="auto" w:fill="auto"/>
            <w:vAlign w:val="center"/>
          </w:tcPr>
          <w:p>
            <w:pPr>
              <w:widowControl/>
              <w:jc w:val="left"/>
              <w:rPr>
                <w:rFonts w:ascii="宋体" w:hAnsi="宋体"/>
                <w:color w:val="000000"/>
                <w:szCs w:val="21"/>
              </w:rPr>
            </w:pPr>
          </w:p>
        </w:tc>
        <w:tc>
          <w:tcPr>
            <w:tcW w:w="1684"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联想CS1831</w:t>
            </w:r>
          </w:p>
        </w:tc>
        <w:tc>
          <w:tcPr>
            <w:tcW w:w="1290"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粉盒（黑）</w:t>
            </w:r>
          </w:p>
        </w:tc>
        <w:tc>
          <w:tcPr>
            <w:tcW w:w="26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LT1821</w:t>
            </w:r>
          </w:p>
        </w:tc>
        <w:tc>
          <w:tcPr>
            <w:tcW w:w="1032"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130.00 </w:t>
            </w:r>
          </w:p>
        </w:tc>
      </w:tr>
      <w:tr>
        <w:tblPrEx>
          <w:tblLayout w:type="fixed"/>
          <w:tblCellMar>
            <w:top w:w="0" w:type="dxa"/>
            <w:left w:w="0" w:type="dxa"/>
            <w:bottom w:w="0" w:type="dxa"/>
            <w:right w:w="0" w:type="dxa"/>
          </w:tblCellMar>
        </w:tblPrEx>
        <w:trPr>
          <w:trHeight w:val="60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72</w:t>
            </w:r>
          </w:p>
        </w:tc>
        <w:tc>
          <w:tcPr>
            <w:tcW w:w="1039" w:type="dxa"/>
            <w:vMerge w:val="continue"/>
            <w:tcBorders>
              <w:top w:val="single" w:color="000000" w:sz="4" w:space="0"/>
              <w:left w:val="nil"/>
              <w:bottom w:val="nil"/>
              <w:right w:val="single" w:color="000000" w:sz="4" w:space="0"/>
            </w:tcBorders>
            <w:shd w:val="clear" w:color="auto" w:fill="auto"/>
            <w:vAlign w:val="center"/>
          </w:tcPr>
          <w:p>
            <w:pPr>
              <w:widowControl/>
              <w:jc w:val="left"/>
              <w:rPr>
                <w:rFonts w:ascii="宋体" w:hAnsi="宋体"/>
                <w:color w:val="000000"/>
                <w:szCs w:val="21"/>
              </w:rPr>
            </w:pPr>
          </w:p>
        </w:tc>
        <w:tc>
          <w:tcPr>
            <w:tcW w:w="1684"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联想CS1831</w:t>
            </w:r>
          </w:p>
        </w:tc>
        <w:tc>
          <w:tcPr>
            <w:tcW w:w="1290"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粉盒（彩色）</w:t>
            </w:r>
          </w:p>
        </w:tc>
        <w:tc>
          <w:tcPr>
            <w:tcW w:w="26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LT1821</w:t>
            </w:r>
          </w:p>
        </w:tc>
        <w:tc>
          <w:tcPr>
            <w:tcW w:w="1032"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132.67 </w:t>
            </w:r>
          </w:p>
        </w:tc>
      </w:tr>
      <w:tr>
        <w:tblPrEx>
          <w:tblLayout w:type="fixed"/>
          <w:tblCellMar>
            <w:top w:w="0" w:type="dxa"/>
            <w:left w:w="0" w:type="dxa"/>
            <w:bottom w:w="0" w:type="dxa"/>
            <w:right w:w="0" w:type="dxa"/>
          </w:tblCellMar>
        </w:tblPrEx>
        <w:trPr>
          <w:trHeight w:val="60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73</w:t>
            </w:r>
          </w:p>
        </w:tc>
        <w:tc>
          <w:tcPr>
            <w:tcW w:w="1039" w:type="dxa"/>
            <w:vMerge w:val="continue"/>
            <w:tcBorders>
              <w:top w:val="single" w:color="000000" w:sz="4" w:space="0"/>
              <w:left w:val="nil"/>
              <w:bottom w:val="nil"/>
              <w:right w:val="single" w:color="000000" w:sz="4" w:space="0"/>
            </w:tcBorders>
            <w:shd w:val="clear" w:color="auto" w:fill="auto"/>
            <w:vAlign w:val="center"/>
          </w:tcPr>
          <w:p>
            <w:pPr>
              <w:widowControl/>
              <w:jc w:val="left"/>
              <w:rPr>
                <w:rFonts w:ascii="宋体" w:hAnsi="宋体"/>
                <w:color w:val="000000"/>
                <w:szCs w:val="21"/>
              </w:rPr>
            </w:pPr>
          </w:p>
        </w:tc>
        <w:tc>
          <w:tcPr>
            <w:tcW w:w="1684"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联想LJ2200</w:t>
            </w:r>
          </w:p>
        </w:tc>
        <w:tc>
          <w:tcPr>
            <w:tcW w:w="1290"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粉盒（黑）</w:t>
            </w:r>
          </w:p>
        </w:tc>
        <w:tc>
          <w:tcPr>
            <w:tcW w:w="26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格之格粉盒 LT2822</w:t>
            </w:r>
          </w:p>
        </w:tc>
        <w:tc>
          <w:tcPr>
            <w:tcW w:w="1032"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120.33 </w:t>
            </w:r>
          </w:p>
        </w:tc>
      </w:tr>
      <w:tr>
        <w:tblPrEx>
          <w:tblLayout w:type="fixed"/>
          <w:tblCellMar>
            <w:top w:w="0" w:type="dxa"/>
            <w:left w:w="0" w:type="dxa"/>
            <w:bottom w:w="0" w:type="dxa"/>
            <w:right w:w="0" w:type="dxa"/>
          </w:tblCellMar>
        </w:tblPrEx>
        <w:trPr>
          <w:trHeight w:val="60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74</w:t>
            </w:r>
          </w:p>
        </w:tc>
        <w:tc>
          <w:tcPr>
            <w:tcW w:w="1039" w:type="dxa"/>
            <w:vMerge w:val="continue"/>
            <w:tcBorders>
              <w:top w:val="single" w:color="000000" w:sz="4" w:space="0"/>
              <w:left w:val="nil"/>
              <w:bottom w:val="nil"/>
              <w:right w:val="single" w:color="000000" w:sz="4" w:space="0"/>
            </w:tcBorders>
            <w:shd w:val="clear" w:color="auto" w:fill="auto"/>
            <w:vAlign w:val="center"/>
          </w:tcPr>
          <w:p>
            <w:pPr>
              <w:widowControl/>
              <w:jc w:val="left"/>
              <w:rPr>
                <w:rFonts w:ascii="宋体" w:hAnsi="宋体"/>
                <w:color w:val="000000"/>
                <w:szCs w:val="21"/>
              </w:rPr>
            </w:pPr>
          </w:p>
        </w:tc>
        <w:tc>
          <w:tcPr>
            <w:tcW w:w="1684"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联想M7250</w:t>
            </w:r>
          </w:p>
        </w:tc>
        <w:tc>
          <w:tcPr>
            <w:tcW w:w="1290"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粉盒（黑）</w:t>
            </w:r>
          </w:p>
        </w:tc>
        <w:tc>
          <w:tcPr>
            <w:tcW w:w="26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格之格粉盒 LT2922</w:t>
            </w:r>
          </w:p>
        </w:tc>
        <w:tc>
          <w:tcPr>
            <w:tcW w:w="1032"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105.67 </w:t>
            </w:r>
          </w:p>
        </w:tc>
      </w:tr>
      <w:tr>
        <w:tblPrEx>
          <w:tblLayout w:type="fixed"/>
          <w:tblCellMar>
            <w:top w:w="0" w:type="dxa"/>
            <w:left w:w="0" w:type="dxa"/>
            <w:bottom w:w="0" w:type="dxa"/>
            <w:right w:w="0" w:type="dxa"/>
          </w:tblCellMar>
        </w:tblPrEx>
        <w:trPr>
          <w:trHeight w:val="60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75</w:t>
            </w:r>
          </w:p>
        </w:tc>
        <w:tc>
          <w:tcPr>
            <w:tcW w:w="103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兄弟</w:t>
            </w:r>
          </w:p>
        </w:tc>
        <w:tc>
          <w:tcPr>
            <w:tcW w:w="1684" w:type="dxa"/>
            <w:vMerge w:val="restar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DCP-7060D</w:t>
            </w:r>
          </w:p>
        </w:tc>
        <w:tc>
          <w:tcPr>
            <w:tcW w:w="1290"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粉盒（黑）</w:t>
            </w:r>
          </w:p>
        </w:tc>
        <w:tc>
          <w:tcPr>
            <w:tcW w:w="26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格之格粉盒 兄弟 NT-P2215</w:t>
            </w:r>
          </w:p>
        </w:tc>
        <w:tc>
          <w:tcPr>
            <w:tcW w:w="1032"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76.33 </w:t>
            </w:r>
          </w:p>
        </w:tc>
      </w:tr>
      <w:tr>
        <w:tblPrEx>
          <w:tblLayout w:type="fixed"/>
          <w:tblCellMar>
            <w:top w:w="0" w:type="dxa"/>
            <w:left w:w="0" w:type="dxa"/>
            <w:bottom w:w="0" w:type="dxa"/>
            <w:right w:w="0" w:type="dxa"/>
          </w:tblCellMar>
        </w:tblPrEx>
        <w:trPr>
          <w:trHeight w:val="60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76</w:t>
            </w:r>
          </w:p>
        </w:tc>
        <w:tc>
          <w:tcPr>
            <w:tcW w:w="1039"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olor w:val="000000"/>
                <w:szCs w:val="21"/>
              </w:rPr>
            </w:pPr>
          </w:p>
        </w:tc>
        <w:tc>
          <w:tcPr>
            <w:tcW w:w="1684"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olor w:val="000000"/>
                <w:szCs w:val="21"/>
              </w:rPr>
            </w:pPr>
          </w:p>
        </w:tc>
        <w:tc>
          <w:tcPr>
            <w:tcW w:w="1290"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鼓架</w:t>
            </w:r>
          </w:p>
        </w:tc>
        <w:tc>
          <w:tcPr>
            <w:tcW w:w="26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格之格硒鼓 NT-DB2250/DL2441/2641F</w:t>
            </w:r>
          </w:p>
        </w:tc>
        <w:tc>
          <w:tcPr>
            <w:tcW w:w="1032"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129.33 </w:t>
            </w:r>
          </w:p>
        </w:tc>
      </w:tr>
      <w:tr>
        <w:tblPrEx>
          <w:tblLayout w:type="fixed"/>
          <w:tblCellMar>
            <w:top w:w="0" w:type="dxa"/>
            <w:left w:w="0" w:type="dxa"/>
            <w:bottom w:w="0" w:type="dxa"/>
            <w:right w:w="0" w:type="dxa"/>
          </w:tblCellMar>
        </w:tblPrEx>
        <w:trPr>
          <w:trHeight w:val="60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77</w:t>
            </w:r>
          </w:p>
        </w:tc>
        <w:tc>
          <w:tcPr>
            <w:tcW w:w="1039"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olor w:val="000000"/>
                <w:szCs w:val="21"/>
              </w:rPr>
            </w:pPr>
          </w:p>
        </w:tc>
        <w:tc>
          <w:tcPr>
            <w:tcW w:w="1684" w:type="dxa"/>
            <w:vMerge w:val="restar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DCP-7080D</w:t>
            </w:r>
          </w:p>
        </w:tc>
        <w:tc>
          <w:tcPr>
            <w:tcW w:w="1290"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粉盒（黑）</w:t>
            </w:r>
          </w:p>
        </w:tc>
        <w:tc>
          <w:tcPr>
            <w:tcW w:w="26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格之格粉盒 NT-CB2312</w:t>
            </w:r>
          </w:p>
        </w:tc>
        <w:tc>
          <w:tcPr>
            <w:tcW w:w="1032"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71.67 </w:t>
            </w:r>
          </w:p>
        </w:tc>
      </w:tr>
      <w:tr>
        <w:tblPrEx>
          <w:tblLayout w:type="fixed"/>
          <w:tblCellMar>
            <w:top w:w="0" w:type="dxa"/>
            <w:left w:w="0" w:type="dxa"/>
            <w:bottom w:w="0" w:type="dxa"/>
            <w:right w:w="0" w:type="dxa"/>
          </w:tblCellMar>
        </w:tblPrEx>
        <w:trPr>
          <w:trHeight w:val="60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78</w:t>
            </w:r>
          </w:p>
        </w:tc>
        <w:tc>
          <w:tcPr>
            <w:tcW w:w="1039"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olor w:val="000000"/>
                <w:szCs w:val="21"/>
              </w:rPr>
            </w:pPr>
          </w:p>
        </w:tc>
        <w:tc>
          <w:tcPr>
            <w:tcW w:w="1684"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olor w:val="000000"/>
                <w:szCs w:val="21"/>
              </w:rPr>
            </w:pPr>
          </w:p>
        </w:tc>
        <w:tc>
          <w:tcPr>
            <w:tcW w:w="1290"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鼓架</w:t>
            </w:r>
          </w:p>
        </w:tc>
        <w:tc>
          <w:tcPr>
            <w:tcW w:w="26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格之格硒鼓 NT-DB2350</w:t>
            </w:r>
          </w:p>
        </w:tc>
        <w:tc>
          <w:tcPr>
            <w:tcW w:w="1032"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112.33 </w:t>
            </w:r>
          </w:p>
        </w:tc>
      </w:tr>
      <w:tr>
        <w:tblPrEx>
          <w:tblLayout w:type="fixed"/>
          <w:tblCellMar>
            <w:top w:w="0" w:type="dxa"/>
            <w:left w:w="0" w:type="dxa"/>
            <w:bottom w:w="0" w:type="dxa"/>
            <w:right w:w="0" w:type="dxa"/>
          </w:tblCellMar>
        </w:tblPrEx>
        <w:trPr>
          <w:trHeight w:val="60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79</w:t>
            </w:r>
          </w:p>
        </w:tc>
        <w:tc>
          <w:tcPr>
            <w:tcW w:w="1039" w:type="dxa"/>
            <w:vMerge w:val="restart"/>
            <w:tcBorders>
              <w:top w:val="nil"/>
              <w:left w:val="nil"/>
              <w:bottom w:val="nil"/>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富士施乐</w:t>
            </w:r>
          </w:p>
        </w:tc>
        <w:tc>
          <w:tcPr>
            <w:tcW w:w="1684"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DocuCentre SC2022</w:t>
            </w:r>
            <w:r>
              <w:rPr>
                <w:rFonts w:hint="eastAsia" w:ascii="宋体" w:hAnsi="宋体"/>
                <w:color w:val="000000"/>
                <w:kern w:val="0"/>
              </w:rPr>
              <w:br w:type="textWrapping"/>
            </w:r>
            <w:r>
              <w:rPr>
                <w:rFonts w:hint="eastAsia" w:ascii="宋体" w:hAnsi="宋体"/>
                <w:color w:val="000000"/>
                <w:kern w:val="0"/>
              </w:rPr>
              <w:t>(Model-CPS DA)</w:t>
            </w:r>
          </w:p>
        </w:tc>
        <w:tc>
          <w:tcPr>
            <w:tcW w:w="1290"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墨盒（黑）9000页</w:t>
            </w:r>
          </w:p>
        </w:tc>
        <w:tc>
          <w:tcPr>
            <w:tcW w:w="26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DocuCentre SC2022</w:t>
            </w:r>
            <w:r>
              <w:rPr>
                <w:rFonts w:hint="eastAsia" w:ascii="宋体" w:hAnsi="宋体"/>
                <w:color w:val="000000"/>
                <w:kern w:val="0"/>
              </w:rPr>
              <w:br w:type="textWrapping"/>
            </w:r>
            <w:r>
              <w:rPr>
                <w:rFonts w:hint="eastAsia" w:ascii="宋体" w:hAnsi="宋体"/>
                <w:color w:val="000000"/>
                <w:kern w:val="0"/>
              </w:rPr>
              <w:t>(Model-CPS DA)</w:t>
            </w:r>
          </w:p>
        </w:tc>
        <w:tc>
          <w:tcPr>
            <w:tcW w:w="1032"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159.00 </w:t>
            </w:r>
          </w:p>
        </w:tc>
      </w:tr>
      <w:tr>
        <w:tblPrEx>
          <w:tblLayout w:type="fixed"/>
          <w:tblCellMar>
            <w:top w:w="0" w:type="dxa"/>
            <w:left w:w="0" w:type="dxa"/>
            <w:bottom w:w="0" w:type="dxa"/>
            <w:right w:w="0" w:type="dxa"/>
          </w:tblCellMar>
        </w:tblPrEx>
        <w:trPr>
          <w:trHeight w:val="60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80</w:t>
            </w:r>
          </w:p>
        </w:tc>
        <w:tc>
          <w:tcPr>
            <w:tcW w:w="1039" w:type="dxa"/>
            <w:vMerge w:val="continue"/>
            <w:tcBorders>
              <w:top w:val="nil"/>
              <w:left w:val="nil"/>
              <w:bottom w:val="nil"/>
              <w:right w:val="single" w:color="000000" w:sz="4" w:space="0"/>
            </w:tcBorders>
            <w:shd w:val="clear" w:color="auto" w:fill="auto"/>
            <w:vAlign w:val="center"/>
          </w:tcPr>
          <w:p>
            <w:pPr>
              <w:widowControl/>
              <w:jc w:val="left"/>
              <w:rPr>
                <w:rFonts w:ascii="宋体" w:hAnsi="宋体"/>
                <w:color w:val="000000"/>
                <w:szCs w:val="21"/>
              </w:rPr>
            </w:pPr>
          </w:p>
        </w:tc>
        <w:tc>
          <w:tcPr>
            <w:tcW w:w="1684"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DocuCentre SC2022</w:t>
            </w:r>
            <w:r>
              <w:rPr>
                <w:rFonts w:hint="eastAsia" w:ascii="宋体" w:hAnsi="宋体"/>
                <w:color w:val="000000"/>
                <w:kern w:val="0"/>
              </w:rPr>
              <w:br w:type="textWrapping"/>
            </w:r>
            <w:r>
              <w:rPr>
                <w:rFonts w:hint="eastAsia" w:ascii="宋体" w:hAnsi="宋体"/>
                <w:color w:val="000000"/>
                <w:kern w:val="0"/>
              </w:rPr>
              <w:t>(Model-CPS DA)</w:t>
            </w:r>
          </w:p>
        </w:tc>
        <w:tc>
          <w:tcPr>
            <w:tcW w:w="1290"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墨盒（彩色）10000页</w:t>
            </w:r>
          </w:p>
        </w:tc>
        <w:tc>
          <w:tcPr>
            <w:tcW w:w="26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DocuCentre SC2022</w:t>
            </w:r>
            <w:r>
              <w:rPr>
                <w:rFonts w:hint="eastAsia" w:ascii="宋体" w:hAnsi="宋体"/>
                <w:color w:val="000000"/>
                <w:kern w:val="0"/>
              </w:rPr>
              <w:br w:type="textWrapping"/>
            </w:r>
            <w:r>
              <w:rPr>
                <w:rFonts w:hint="eastAsia" w:ascii="宋体" w:hAnsi="宋体"/>
                <w:color w:val="000000"/>
                <w:kern w:val="0"/>
              </w:rPr>
              <w:t>(Model-CPS DA)</w:t>
            </w:r>
          </w:p>
        </w:tc>
        <w:tc>
          <w:tcPr>
            <w:tcW w:w="1032"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159.00 </w:t>
            </w:r>
          </w:p>
        </w:tc>
      </w:tr>
      <w:tr>
        <w:tblPrEx>
          <w:tblLayout w:type="fixed"/>
          <w:tblCellMar>
            <w:top w:w="0" w:type="dxa"/>
            <w:left w:w="0" w:type="dxa"/>
            <w:bottom w:w="0" w:type="dxa"/>
            <w:right w:w="0" w:type="dxa"/>
          </w:tblCellMar>
        </w:tblPrEx>
        <w:trPr>
          <w:trHeight w:val="60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81</w:t>
            </w:r>
          </w:p>
        </w:tc>
        <w:tc>
          <w:tcPr>
            <w:tcW w:w="1039" w:type="dxa"/>
            <w:vMerge w:val="continue"/>
            <w:tcBorders>
              <w:top w:val="nil"/>
              <w:left w:val="nil"/>
              <w:bottom w:val="nil"/>
              <w:right w:val="single" w:color="000000" w:sz="4" w:space="0"/>
            </w:tcBorders>
            <w:shd w:val="clear" w:color="auto" w:fill="auto"/>
            <w:vAlign w:val="center"/>
          </w:tcPr>
          <w:p>
            <w:pPr>
              <w:widowControl/>
              <w:jc w:val="left"/>
              <w:rPr>
                <w:rFonts w:ascii="宋体" w:hAnsi="宋体"/>
                <w:color w:val="000000"/>
                <w:szCs w:val="21"/>
              </w:rPr>
            </w:pPr>
          </w:p>
        </w:tc>
        <w:tc>
          <w:tcPr>
            <w:tcW w:w="1684"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DocuCentre SC2022</w:t>
            </w:r>
          </w:p>
        </w:tc>
        <w:tc>
          <w:tcPr>
            <w:tcW w:w="1290"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黑色显影组件</w:t>
            </w:r>
          </w:p>
        </w:tc>
        <w:tc>
          <w:tcPr>
            <w:tcW w:w="26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非原装耗材</w:t>
            </w:r>
          </w:p>
        </w:tc>
        <w:tc>
          <w:tcPr>
            <w:tcW w:w="1032"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303.00 </w:t>
            </w:r>
          </w:p>
        </w:tc>
      </w:tr>
      <w:tr>
        <w:tblPrEx>
          <w:tblLayout w:type="fixed"/>
          <w:tblCellMar>
            <w:top w:w="0" w:type="dxa"/>
            <w:left w:w="0" w:type="dxa"/>
            <w:bottom w:w="0" w:type="dxa"/>
            <w:right w:w="0" w:type="dxa"/>
          </w:tblCellMar>
        </w:tblPrEx>
        <w:trPr>
          <w:trHeight w:val="60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82</w:t>
            </w:r>
          </w:p>
        </w:tc>
        <w:tc>
          <w:tcPr>
            <w:tcW w:w="1039" w:type="dxa"/>
            <w:vMerge w:val="continue"/>
            <w:tcBorders>
              <w:top w:val="nil"/>
              <w:left w:val="nil"/>
              <w:bottom w:val="nil"/>
              <w:right w:val="single" w:color="000000" w:sz="4" w:space="0"/>
            </w:tcBorders>
            <w:shd w:val="clear" w:color="auto" w:fill="auto"/>
            <w:vAlign w:val="center"/>
          </w:tcPr>
          <w:p>
            <w:pPr>
              <w:widowControl/>
              <w:jc w:val="left"/>
              <w:rPr>
                <w:rFonts w:ascii="宋体" w:hAnsi="宋体"/>
                <w:color w:val="000000"/>
                <w:szCs w:val="21"/>
              </w:rPr>
            </w:pPr>
          </w:p>
        </w:tc>
        <w:tc>
          <w:tcPr>
            <w:tcW w:w="1684"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DocuCentre SC2022</w:t>
            </w:r>
          </w:p>
        </w:tc>
        <w:tc>
          <w:tcPr>
            <w:tcW w:w="1290"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红/黄/青色显影组件</w:t>
            </w:r>
          </w:p>
        </w:tc>
        <w:tc>
          <w:tcPr>
            <w:tcW w:w="26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非原装耗材</w:t>
            </w:r>
          </w:p>
        </w:tc>
        <w:tc>
          <w:tcPr>
            <w:tcW w:w="1032"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303.00 </w:t>
            </w:r>
          </w:p>
        </w:tc>
      </w:tr>
      <w:tr>
        <w:tblPrEx>
          <w:tblLayout w:type="fixed"/>
          <w:tblCellMar>
            <w:top w:w="0" w:type="dxa"/>
            <w:left w:w="0" w:type="dxa"/>
            <w:bottom w:w="0" w:type="dxa"/>
            <w:right w:w="0" w:type="dxa"/>
          </w:tblCellMar>
        </w:tblPrEx>
        <w:trPr>
          <w:trHeight w:val="60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83</w:t>
            </w:r>
          </w:p>
        </w:tc>
        <w:tc>
          <w:tcPr>
            <w:tcW w:w="103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夏普</w:t>
            </w:r>
          </w:p>
        </w:tc>
        <w:tc>
          <w:tcPr>
            <w:tcW w:w="1684"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夏普MX-M2658N</w:t>
            </w:r>
          </w:p>
        </w:tc>
        <w:tc>
          <w:tcPr>
            <w:tcW w:w="1290"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硒鼓</w:t>
            </w:r>
          </w:p>
        </w:tc>
        <w:tc>
          <w:tcPr>
            <w:tcW w:w="26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色威MX-315（格之格无此款）</w:t>
            </w:r>
          </w:p>
        </w:tc>
        <w:tc>
          <w:tcPr>
            <w:tcW w:w="1032"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199.00 </w:t>
            </w:r>
          </w:p>
        </w:tc>
      </w:tr>
      <w:tr>
        <w:tblPrEx>
          <w:tblLayout w:type="fixed"/>
          <w:tblCellMar>
            <w:top w:w="0" w:type="dxa"/>
            <w:left w:w="0" w:type="dxa"/>
            <w:bottom w:w="0" w:type="dxa"/>
            <w:right w:w="0" w:type="dxa"/>
          </w:tblCellMar>
        </w:tblPrEx>
        <w:trPr>
          <w:trHeight w:val="60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84</w:t>
            </w:r>
          </w:p>
        </w:tc>
        <w:tc>
          <w:tcPr>
            <w:tcW w:w="1039"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olor w:val="000000"/>
                <w:szCs w:val="21"/>
              </w:rPr>
            </w:pPr>
          </w:p>
        </w:tc>
        <w:tc>
          <w:tcPr>
            <w:tcW w:w="1684"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夏普黑白数码复合机AR-2048N</w:t>
            </w:r>
          </w:p>
        </w:tc>
        <w:tc>
          <w:tcPr>
            <w:tcW w:w="1290"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硒鼓</w:t>
            </w:r>
          </w:p>
        </w:tc>
        <w:tc>
          <w:tcPr>
            <w:tcW w:w="26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色威MX-237（格之格无此款）</w:t>
            </w:r>
          </w:p>
        </w:tc>
        <w:tc>
          <w:tcPr>
            <w:tcW w:w="1032"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224.00 </w:t>
            </w:r>
          </w:p>
        </w:tc>
      </w:tr>
      <w:tr>
        <w:tblPrEx>
          <w:tblLayout w:type="fixed"/>
          <w:tblCellMar>
            <w:top w:w="0" w:type="dxa"/>
            <w:left w:w="0" w:type="dxa"/>
            <w:bottom w:w="0" w:type="dxa"/>
            <w:right w:w="0" w:type="dxa"/>
          </w:tblCellMar>
        </w:tblPrEx>
        <w:trPr>
          <w:trHeight w:val="60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85</w:t>
            </w:r>
          </w:p>
        </w:tc>
        <w:tc>
          <w:tcPr>
            <w:tcW w:w="1039" w:type="dxa"/>
            <w:vMerge w:val="restart"/>
            <w:tcBorders>
              <w:top w:val="nil"/>
              <w:left w:val="nil"/>
              <w:bottom w:val="nil"/>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奔图</w:t>
            </w:r>
          </w:p>
        </w:tc>
        <w:tc>
          <w:tcPr>
            <w:tcW w:w="1684"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奔图P3306DN</w:t>
            </w:r>
            <w:r>
              <w:rPr>
                <w:rFonts w:hint="eastAsia" w:ascii="宋体" w:hAnsi="宋体"/>
                <w:color w:val="000000"/>
                <w:kern w:val="0"/>
              </w:rPr>
              <w:br w:type="textWrapping"/>
            </w:r>
            <w:r>
              <w:rPr>
                <w:rFonts w:hint="eastAsia" w:ascii="宋体" w:hAnsi="宋体"/>
                <w:color w:val="000000"/>
                <w:kern w:val="0"/>
              </w:rPr>
              <w:t>TO-426X</w:t>
            </w:r>
          </w:p>
        </w:tc>
        <w:tc>
          <w:tcPr>
            <w:tcW w:w="1290"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硒鼓</w:t>
            </w:r>
          </w:p>
        </w:tc>
        <w:tc>
          <w:tcPr>
            <w:tcW w:w="26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东呈（格之格无此款）</w:t>
            </w:r>
          </w:p>
        </w:tc>
        <w:tc>
          <w:tcPr>
            <w:tcW w:w="1032"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128.00 </w:t>
            </w:r>
          </w:p>
        </w:tc>
      </w:tr>
      <w:tr>
        <w:tblPrEx>
          <w:tblLayout w:type="fixed"/>
          <w:tblCellMar>
            <w:top w:w="0" w:type="dxa"/>
            <w:left w:w="0" w:type="dxa"/>
            <w:bottom w:w="0" w:type="dxa"/>
            <w:right w:w="0" w:type="dxa"/>
          </w:tblCellMar>
        </w:tblPrEx>
        <w:trPr>
          <w:trHeight w:val="60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86</w:t>
            </w:r>
          </w:p>
        </w:tc>
        <w:tc>
          <w:tcPr>
            <w:tcW w:w="1039" w:type="dxa"/>
            <w:vMerge w:val="continue"/>
            <w:tcBorders>
              <w:top w:val="nil"/>
              <w:left w:val="nil"/>
              <w:bottom w:val="nil"/>
              <w:right w:val="single" w:color="000000" w:sz="4" w:space="0"/>
            </w:tcBorders>
            <w:shd w:val="clear" w:color="auto" w:fill="auto"/>
            <w:vAlign w:val="center"/>
          </w:tcPr>
          <w:p>
            <w:pPr>
              <w:widowControl/>
              <w:jc w:val="left"/>
              <w:rPr>
                <w:rFonts w:ascii="宋体" w:hAnsi="宋体"/>
                <w:color w:val="000000"/>
                <w:szCs w:val="21"/>
              </w:rPr>
            </w:pPr>
          </w:p>
        </w:tc>
        <w:tc>
          <w:tcPr>
            <w:tcW w:w="1684"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P3305DN</w:t>
            </w:r>
          </w:p>
        </w:tc>
        <w:tc>
          <w:tcPr>
            <w:tcW w:w="1290"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硒鼓</w:t>
            </w:r>
          </w:p>
        </w:tc>
        <w:tc>
          <w:tcPr>
            <w:tcW w:w="26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TL-413 3000页</w:t>
            </w:r>
          </w:p>
        </w:tc>
        <w:tc>
          <w:tcPr>
            <w:tcW w:w="1032"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132.00 </w:t>
            </w:r>
          </w:p>
        </w:tc>
      </w:tr>
      <w:tr>
        <w:tblPrEx>
          <w:tblLayout w:type="fixed"/>
          <w:tblCellMar>
            <w:top w:w="0" w:type="dxa"/>
            <w:left w:w="0" w:type="dxa"/>
            <w:bottom w:w="0" w:type="dxa"/>
            <w:right w:w="0" w:type="dxa"/>
          </w:tblCellMar>
        </w:tblPrEx>
        <w:trPr>
          <w:trHeight w:val="60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87</w:t>
            </w:r>
          </w:p>
        </w:tc>
        <w:tc>
          <w:tcPr>
            <w:tcW w:w="1039" w:type="dxa"/>
            <w:vMerge w:val="continue"/>
            <w:tcBorders>
              <w:top w:val="nil"/>
              <w:left w:val="nil"/>
              <w:bottom w:val="nil"/>
              <w:right w:val="single" w:color="000000" w:sz="4" w:space="0"/>
            </w:tcBorders>
            <w:shd w:val="clear" w:color="auto" w:fill="auto"/>
            <w:vAlign w:val="center"/>
          </w:tcPr>
          <w:p>
            <w:pPr>
              <w:widowControl/>
              <w:jc w:val="left"/>
              <w:rPr>
                <w:rFonts w:ascii="宋体" w:hAnsi="宋体"/>
                <w:color w:val="000000"/>
                <w:szCs w:val="21"/>
              </w:rPr>
            </w:pPr>
          </w:p>
        </w:tc>
        <w:tc>
          <w:tcPr>
            <w:tcW w:w="1684"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P3205DN</w:t>
            </w:r>
          </w:p>
        </w:tc>
        <w:tc>
          <w:tcPr>
            <w:tcW w:w="1290"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硒鼓</w:t>
            </w:r>
          </w:p>
        </w:tc>
        <w:tc>
          <w:tcPr>
            <w:tcW w:w="26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PD-300</w:t>
            </w:r>
          </w:p>
        </w:tc>
        <w:tc>
          <w:tcPr>
            <w:tcW w:w="1032"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205.33 </w:t>
            </w:r>
          </w:p>
        </w:tc>
      </w:tr>
      <w:tr>
        <w:tblPrEx>
          <w:tblLayout w:type="fixed"/>
          <w:tblCellMar>
            <w:top w:w="0" w:type="dxa"/>
            <w:left w:w="0" w:type="dxa"/>
            <w:bottom w:w="0" w:type="dxa"/>
            <w:right w:w="0" w:type="dxa"/>
          </w:tblCellMar>
        </w:tblPrEx>
        <w:trPr>
          <w:trHeight w:val="60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88</w:t>
            </w:r>
          </w:p>
        </w:tc>
        <w:tc>
          <w:tcPr>
            <w:tcW w:w="1039" w:type="dxa"/>
            <w:vMerge w:val="continue"/>
            <w:tcBorders>
              <w:top w:val="nil"/>
              <w:left w:val="nil"/>
              <w:bottom w:val="nil"/>
              <w:right w:val="single" w:color="000000" w:sz="4" w:space="0"/>
            </w:tcBorders>
            <w:shd w:val="clear" w:color="auto" w:fill="auto"/>
            <w:vAlign w:val="center"/>
          </w:tcPr>
          <w:p>
            <w:pPr>
              <w:widowControl/>
              <w:jc w:val="left"/>
              <w:rPr>
                <w:rFonts w:ascii="宋体" w:hAnsi="宋体"/>
                <w:color w:val="000000"/>
                <w:szCs w:val="21"/>
              </w:rPr>
            </w:pPr>
          </w:p>
        </w:tc>
        <w:tc>
          <w:tcPr>
            <w:tcW w:w="1684"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CM265ADN</w:t>
            </w:r>
          </w:p>
        </w:tc>
        <w:tc>
          <w:tcPr>
            <w:tcW w:w="1290"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黑色粉盒</w:t>
            </w:r>
          </w:p>
        </w:tc>
        <w:tc>
          <w:tcPr>
            <w:tcW w:w="26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东呈CTO-2650（格之格无此款）</w:t>
            </w:r>
          </w:p>
        </w:tc>
        <w:tc>
          <w:tcPr>
            <w:tcW w:w="1032"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540.00 </w:t>
            </w:r>
          </w:p>
        </w:tc>
      </w:tr>
      <w:tr>
        <w:tblPrEx>
          <w:tblLayout w:type="fixed"/>
          <w:tblCellMar>
            <w:top w:w="0" w:type="dxa"/>
            <w:left w:w="0" w:type="dxa"/>
            <w:bottom w:w="0" w:type="dxa"/>
            <w:right w:w="0" w:type="dxa"/>
          </w:tblCellMar>
        </w:tblPrEx>
        <w:trPr>
          <w:trHeight w:val="60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89</w:t>
            </w:r>
          </w:p>
        </w:tc>
        <w:tc>
          <w:tcPr>
            <w:tcW w:w="1039" w:type="dxa"/>
            <w:vMerge w:val="continue"/>
            <w:tcBorders>
              <w:top w:val="nil"/>
              <w:left w:val="nil"/>
              <w:bottom w:val="nil"/>
              <w:right w:val="single" w:color="000000" w:sz="4" w:space="0"/>
            </w:tcBorders>
            <w:shd w:val="clear" w:color="auto" w:fill="auto"/>
            <w:vAlign w:val="center"/>
          </w:tcPr>
          <w:p>
            <w:pPr>
              <w:widowControl/>
              <w:jc w:val="left"/>
              <w:rPr>
                <w:rFonts w:ascii="宋体" w:hAnsi="宋体"/>
                <w:color w:val="000000"/>
                <w:szCs w:val="21"/>
              </w:rPr>
            </w:pPr>
          </w:p>
        </w:tc>
        <w:tc>
          <w:tcPr>
            <w:tcW w:w="1684"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CM265ADN</w:t>
            </w:r>
          </w:p>
        </w:tc>
        <w:tc>
          <w:tcPr>
            <w:tcW w:w="1290"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彩色粉盒</w:t>
            </w:r>
          </w:p>
        </w:tc>
        <w:tc>
          <w:tcPr>
            <w:tcW w:w="26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东呈CTO-2650（格之格无此款）</w:t>
            </w:r>
          </w:p>
        </w:tc>
        <w:tc>
          <w:tcPr>
            <w:tcW w:w="1032"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540.00 </w:t>
            </w:r>
          </w:p>
        </w:tc>
      </w:tr>
      <w:tr>
        <w:tblPrEx>
          <w:tblLayout w:type="fixed"/>
          <w:tblCellMar>
            <w:top w:w="0" w:type="dxa"/>
            <w:left w:w="0" w:type="dxa"/>
            <w:bottom w:w="0" w:type="dxa"/>
            <w:right w:w="0" w:type="dxa"/>
          </w:tblCellMar>
        </w:tblPrEx>
        <w:trPr>
          <w:trHeight w:val="60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90</w:t>
            </w:r>
          </w:p>
        </w:tc>
        <w:tc>
          <w:tcPr>
            <w:tcW w:w="1039" w:type="dxa"/>
            <w:vMerge w:val="continue"/>
            <w:tcBorders>
              <w:top w:val="nil"/>
              <w:left w:val="nil"/>
              <w:bottom w:val="nil"/>
              <w:right w:val="single" w:color="000000" w:sz="4" w:space="0"/>
            </w:tcBorders>
            <w:shd w:val="clear" w:color="auto" w:fill="auto"/>
            <w:vAlign w:val="center"/>
          </w:tcPr>
          <w:p>
            <w:pPr>
              <w:widowControl/>
              <w:jc w:val="left"/>
              <w:rPr>
                <w:rFonts w:ascii="宋体" w:hAnsi="宋体"/>
                <w:color w:val="000000"/>
                <w:szCs w:val="21"/>
              </w:rPr>
            </w:pPr>
          </w:p>
        </w:tc>
        <w:tc>
          <w:tcPr>
            <w:tcW w:w="1684"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CM1155ADN</w:t>
            </w:r>
          </w:p>
        </w:tc>
        <w:tc>
          <w:tcPr>
            <w:tcW w:w="1290"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黑色粉盒</w:t>
            </w:r>
          </w:p>
        </w:tc>
        <w:tc>
          <w:tcPr>
            <w:tcW w:w="26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CTL-1150H带芯片2000页</w:t>
            </w:r>
          </w:p>
        </w:tc>
        <w:tc>
          <w:tcPr>
            <w:tcW w:w="1032"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390.00 </w:t>
            </w:r>
          </w:p>
        </w:tc>
      </w:tr>
      <w:tr>
        <w:tblPrEx>
          <w:tblLayout w:type="fixed"/>
          <w:tblCellMar>
            <w:top w:w="0" w:type="dxa"/>
            <w:left w:w="0" w:type="dxa"/>
            <w:bottom w:w="0" w:type="dxa"/>
            <w:right w:w="0" w:type="dxa"/>
          </w:tblCellMar>
        </w:tblPrEx>
        <w:trPr>
          <w:trHeight w:val="60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91</w:t>
            </w:r>
          </w:p>
        </w:tc>
        <w:tc>
          <w:tcPr>
            <w:tcW w:w="1039" w:type="dxa"/>
            <w:vMerge w:val="continue"/>
            <w:tcBorders>
              <w:top w:val="nil"/>
              <w:left w:val="nil"/>
              <w:bottom w:val="nil"/>
              <w:right w:val="single" w:color="000000" w:sz="4" w:space="0"/>
            </w:tcBorders>
            <w:shd w:val="clear" w:color="auto" w:fill="auto"/>
            <w:vAlign w:val="center"/>
          </w:tcPr>
          <w:p>
            <w:pPr>
              <w:widowControl/>
              <w:jc w:val="left"/>
              <w:rPr>
                <w:rFonts w:ascii="宋体" w:hAnsi="宋体"/>
                <w:color w:val="000000"/>
                <w:szCs w:val="21"/>
              </w:rPr>
            </w:pPr>
          </w:p>
        </w:tc>
        <w:tc>
          <w:tcPr>
            <w:tcW w:w="1684"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CM1155ADN</w:t>
            </w:r>
          </w:p>
        </w:tc>
        <w:tc>
          <w:tcPr>
            <w:tcW w:w="1290"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彩色粉盒</w:t>
            </w:r>
          </w:p>
        </w:tc>
        <w:tc>
          <w:tcPr>
            <w:tcW w:w="26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CTL-1150H带芯片1500页</w:t>
            </w:r>
          </w:p>
        </w:tc>
        <w:tc>
          <w:tcPr>
            <w:tcW w:w="1032"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390.00 </w:t>
            </w:r>
          </w:p>
        </w:tc>
      </w:tr>
      <w:tr>
        <w:tblPrEx>
          <w:tblLayout w:type="fixed"/>
          <w:tblCellMar>
            <w:top w:w="0" w:type="dxa"/>
            <w:left w:w="0" w:type="dxa"/>
            <w:bottom w:w="0" w:type="dxa"/>
            <w:right w:w="0" w:type="dxa"/>
          </w:tblCellMar>
        </w:tblPrEx>
        <w:trPr>
          <w:trHeight w:val="60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92</w:t>
            </w:r>
          </w:p>
        </w:tc>
        <w:tc>
          <w:tcPr>
            <w:tcW w:w="103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理光</w:t>
            </w:r>
          </w:p>
        </w:tc>
        <w:tc>
          <w:tcPr>
            <w:tcW w:w="1684"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IMC2000/2500</w:t>
            </w:r>
          </w:p>
        </w:tc>
        <w:tc>
          <w:tcPr>
            <w:tcW w:w="1290"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黑色粉盒</w:t>
            </w:r>
          </w:p>
        </w:tc>
        <w:tc>
          <w:tcPr>
            <w:tcW w:w="26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格之格NF-IMC2500</w:t>
            </w:r>
          </w:p>
        </w:tc>
        <w:tc>
          <w:tcPr>
            <w:tcW w:w="1032"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203.00 </w:t>
            </w:r>
          </w:p>
        </w:tc>
      </w:tr>
      <w:tr>
        <w:tblPrEx>
          <w:tblLayout w:type="fixed"/>
          <w:tblCellMar>
            <w:top w:w="0" w:type="dxa"/>
            <w:left w:w="0" w:type="dxa"/>
            <w:bottom w:w="0" w:type="dxa"/>
            <w:right w:w="0" w:type="dxa"/>
          </w:tblCellMar>
        </w:tblPrEx>
        <w:trPr>
          <w:trHeight w:val="60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93</w:t>
            </w:r>
          </w:p>
        </w:tc>
        <w:tc>
          <w:tcPr>
            <w:tcW w:w="1039"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olor w:val="000000"/>
                <w:szCs w:val="21"/>
              </w:rPr>
            </w:pPr>
          </w:p>
        </w:tc>
        <w:tc>
          <w:tcPr>
            <w:tcW w:w="1684"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IMC2000/2500</w:t>
            </w:r>
          </w:p>
        </w:tc>
        <w:tc>
          <w:tcPr>
            <w:tcW w:w="1290"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彩色粉盒</w:t>
            </w:r>
          </w:p>
        </w:tc>
        <w:tc>
          <w:tcPr>
            <w:tcW w:w="2629"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格之格NF-IMC2500</w:t>
            </w:r>
          </w:p>
        </w:tc>
        <w:tc>
          <w:tcPr>
            <w:tcW w:w="1032" w:type="dxa"/>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203.00 </w:t>
            </w:r>
          </w:p>
        </w:tc>
      </w:tr>
    </w:tbl>
    <w:p>
      <w:pPr>
        <w:widowControl/>
        <w:spacing w:line="360" w:lineRule="auto"/>
        <w:jc w:val="left"/>
        <w:rPr>
          <w:rFonts w:ascii="宋体" w:hAnsi="宋体"/>
          <w:b/>
          <w:szCs w:val="21"/>
        </w:rPr>
      </w:pPr>
      <w:r>
        <w:rPr>
          <w:rFonts w:hint="eastAsia" w:ascii="宋体" w:hAnsi="宋体"/>
          <w:b/>
        </w:rPr>
        <w:t xml:space="preserve"> </w:t>
      </w:r>
    </w:p>
    <w:p>
      <w:pPr>
        <w:widowControl/>
        <w:spacing w:line="360" w:lineRule="auto"/>
        <w:jc w:val="left"/>
        <w:rPr>
          <w:rFonts w:ascii="宋体" w:hAnsi="宋体"/>
        </w:rPr>
      </w:pPr>
      <w:r>
        <w:rPr>
          <w:rFonts w:hint="eastAsia" w:ascii="宋体" w:hAnsi="宋体"/>
          <w:b/>
        </w:rPr>
        <w:t>附件2：采购清单（原装）</w:t>
      </w:r>
    </w:p>
    <w:tbl>
      <w:tblPr>
        <w:tblStyle w:val="23"/>
        <w:tblW w:w="8336" w:type="dxa"/>
        <w:jc w:val="center"/>
        <w:tblInd w:w="0" w:type="dxa"/>
        <w:tblLayout w:type="fixed"/>
        <w:tblCellMar>
          <w:top w:w="0" w:type="dxa"/>
          <w:left w:w="0" w:type="dxa"/>
          <w:bottom w:w="0" w:type="dxa"/>
          <w:right w:w="0" w:type="dxa"/>
        </w:tblCellMar>
      </w:tblPr>
      <w:tblGrid>
        <w:gridCol w:w="723"/>
        <w:gridCol w:w="1135"/>
        <w:gridCol w:w="1882"/>
        <w:gridCol w:w="1525"/>
        <w:gridCol w:w="1816"/>
        <w:gridCol w:w="1255"/>
      </w:tblGrid>
      <w:tr>
        <w:tblPrEx>
          <w:tblLayout w:type="fixed"/>
          <w:tblCellMar>
            <w:top w:w="0" w:type="dxa"/>
            <w:left w:w="0" w:type="dxa"/>
            <w:bottom w:w="0" w:type="dxa"/>
            <w:right w:w="0" w:type="dxa"/>
          </w:tblCellMar>
        </w:tblPrEx>
        <w:trPr>
          <w:trHeight w:val="740" w:hRule="atLeast"/>
          <w:jc w:val="center"/>
        </w:trPr>
        <w:tc>
          <w:tcPr>
            <w:tcW w:w="7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序号</w:t>
            </w:r>
          </w:p>
        </w:tc>
        <w:tc>
          <w:tcPr>
            <w:tcW w:w="113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品牌</w:t>
            </w:r>
          </w:p>
        </w:tc>
        <w:tc>
          <w:tcPr>
            <w:tcW w:w="188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机器型号</w:t>
            </w:r>
          </w:p>
        </w:tc>
        <w:tc>
          <w:tcPr>
            <w:tcW w:w="15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耗材型号</w:t>
            </w:r>
          </w:p>
        </w:tc>
        <w:tc>
          <w:tcPr>
            <w:tcW w:w="181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类别</w:t>
            </w:r>
          </w:p>
        </w:tc>
        <w:tc>
          <w:tcPr>
            <w:tcW w:w="125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单价最高限价/元</w:t>
            </w:r>
          </w:p>
        </w:tc>
      </w:tr>
      <w:tr>
        <w:tblPrEx>
          <w:tblLayout w:type="fixed"/>
          <w:tblCellMar>
            <w:top w:w="0" w:type="dxa"/>
            <w:left w:w="0" w:type="dxa"/>
            <w:bottom w:w="0" w:type="dxa"/>
            <w:right w:w="0" w:type="dxa"/>
          </w:tblCellMar>
        </w:tblPrEx>
        <w:trPr>
          <w:trHeight w:val="600" w:hRule="atLeast"/>
          <w:jc w:val="center"/>
        </w:trPr>
        <w:tc>
          <w:tcPr>
            <w:tcW w:w="7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1</w:t>
            </w:r>
          </w:p>
        </w:tc>
        <w:tc>
          <w:tcPr>
            <w:tcW w:w="1135"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奔图</w:t>
            </w:r>
          </w:p>
        </w:tc>
        <w:tc>
          <w:tcPr>
            <w:tcW w:w="188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奔图CM8505DN</w:t>
            </w:r>
          </w:p>
        </w:tc>
        <w:tc>
          <w:tcPr>
            <w:tcW w:w="15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TCO-850K</w:t>
            </w:r>
          </w:p>
        </w:tc>
        <w:tc>
          <w:tcPr>
            <w:tcW w:w="181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黑色碳粉盒</w:t>
            </w:r>
          </w:p>
        </w:tc>
        <w:tc>
          <w:tcPr>
            <w:tcW w:w="125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1066.67 </w:t>
            </w:r>
          </w:p>
        </w:tc>
      </w:tr>
      <w:tr>
        <w:tblPrEx>
          <w:tblLayout w:type="fixed"/>
          <w:tblCellMar>
            <w:top w:w="0" w:type="dxa"/>
            <w:left w:w="0" w:type="dxa"/>
            <w:bottom w:w="0" w:type="dxa"/>
            <w:right w:w="0" w:type="dxa"/>
          </w:tblCellMar>
        </w:tblPrEx>
        <w:trPr>
          <w:trHeight w:val="600" w:hRule="atLeast"/>
          <w:jc w:val="center"/>
        </w:trPr>
        <w:tc>
          <w:tcPr>
            <w:tcW w:w="7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2</w:t>
            </w:r>
          </w:p>
        </w:tc>
        <w:tc>
          <w:tcPr>
            <w:tcW w:w="1135"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szCs w:val="21"/>
              </w:rPr>
            </w:pPr>
          </w:p>
        </w:tc>
        <w:tc>
          <w:tcPr>
            <w:tcW w:w="188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奔图CM8505DN</w:t>
            </w:r>
          </w:p>
        </w:tc>
        <w:tc>
          <w:tcPr>
            <w:tcW w:w="15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TCO-850YCM</w:t>
            </w:r>
          </w:p>
        </w:tc>
        <w:tc>
          <w:tcPr>
            <w:tcW w:w="181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彩色碳粉盒</w:t>
            </w:r>
          </w:p>
        </w:tc>
        <w:tc>
          <w:tcPr>
            <w:tcW w:w="125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1130.00 </w:t>
            </w:r>
          </w:p>
        </w:tc>
      </w:tr>
      <w:tr>
        <w:tblPrEx>
          <w:tblLayout w:type="fixed"/>
          <w:tblCellMar>
            <w:top w:w="0" w:type="dxa"/>
            <w:left w:w="0" w:type="dxa"/>
            <w:bottom w:w="0" w:type="dxa"/>
            <w:right w:w="0" w:type="dxa"/>
          </w:tblCellMar>
        </w:tblPrEx>
        <w:trPr>
          <w:trHeight w:val="600" w:hRule="atLeast"/>
          <w:jc w:val="center"/>
        </w:trPr>
        <w:tc>
          <w:tcPr>
            <w:tcW w:w="7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3</w:t>
            </w:r>
          </w:p>
        </w:tc>
        <w:tc>
          <w:tcPr>
            <w:tcW w:w="1135"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szCs w:val="21"/>
              </w:rPr>
            </w:pPr>
          </w:p>
        </w:tc>
        <w:tc>
          <w:tcPr>
            <w:tcW w:w="188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奔图CM8505DN</w:t>
            </w:r>
          </w:p>
        </w:tc>
        <w:tc>
          <w:tcPr>
            <w:tcW w:w="15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CM8505DN</w:t>
            </w:r>
          </w:p>
        </w:tc>
        <w:tc>
          <w:tcPr>
            <w:tcW w:w="181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黑色硒鼓</w:t>
            </w:r>
          </w:p>
        </w:tc>
        <w:tc>
          <w:tcPr>
            <w:tcW w:w="125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2143.33 </w:t>
            </w:r>
          </w:p>
        </w:tc>
      </w:tr>
      <w:tr>
        <w:tblPrEx>
          <w:tblLayout w:type="fixed"/>
          <w:tblCellMar>
            <w:top w:w="0" w:type="dxa"/>
            <w:left w:w="0" w:type="dxa"/>
            <w:bottom w:w="0" w:type="dxa"/>
            <w:right w:w="0" w:type="dxa"/>
          </w:tblCellMar>
        </w:tblPrEx>
        <w:trPr>
          <w:trHeight w:val="600" w:hRule="atLeast"/>
          <w:jc w:val="center"/>
        </w:trPr>
        <w:tc>
          <w:tcPr>
            <w:tcW w:w="7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4</w:t>
            </w:r>
          </w:p>
        </w:tc>
        <w:tc>
          <w:tcPr>
            <w:tcW w:w="1135"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szCs w:val="21"/>
              </w:rPr>
            </w:pPr>
          </w:p>
        </w:tc>
        <w:tc>
          <w:tcPr>
            <w:tcW w:w="188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奔图CM8505DN</w:t>
            </w:r>
          </w:p>
        </w:tc>
        <w:tc>
          <w:tcPr>
            <w:tcW w:w="15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CM8505DN</w:t>
            </w:r>
          </w:p>
        </w:tc>
        <w:tc>
          <w:tcPr>
            <w:tcW w:w="181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彩色硒鼓</w:t>
            </w:r>
          </w:p>
        </w:tc>
        <w:tc>
          <w:tcPr>
            <w:tcW w:w="125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3186.67 </w:t>
            </w:r>
          </w:p>
        </w:tc>
      </w:tr>
      <w:tr>
        <w:tblPrEx>
          <w:tblLayout w:type="fixed"/>
          <w:tblCellMar>
            <w:top w:w="0" w:type="dxa"/>
            <w:left w:w="0" w:type="dxa"/>
            <w:bottom w:w="0" w:type="dxa"/>
            <w:right w:w="0" w:type="dxa"/>
          </w:tblCellMar>
        </w:tblPrEx>
        <w:trPr>
          <w:trHeight w:val="600" w:hRule="atLeast"/>
          <w:jc w:val="center"/>
        </w:trPr>
        <w:tc>
          <w:tcPr>
            <w:tcW w:w="7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5</w:t>
            </w:r>
          </w:p>
        </w:tc>
        <w:tc>
          <w:tcPr>
            <w:tcW w:w="1135"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szCs w:val="21"/>
              </w:rPr>
            </w:pPr>
          </w:p>
        </w:tc>
        <w:tc>
          <w:tcPr>
            <w:tcW w:w="188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奔图P3205DN</w:t>
            </w:r>
          </w:p>
        </w:tc>
        <w:tc>
          <w:tcPr>
            <w:tcW w:w="15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奔图P3205DN</w:t>
            </w:r>
          </w:p>
        </w:tc>
        <w:tc>
          <w:tcPr>
            <w:tcW w:w="181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碳粉盒</w:t>
            </w:r>
          </w:p>
        </w:tc>
        <w:tc>
          <w:tcPr>
            <w:tcW w:w="125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436.00 </w:t>
            </w:r>
          </w:p>
        </w:tc>
      </w:tr>
      <w:tr>
        <w:tblPrEx>
          <w:tblLayout w:type="fixed"/>
          <w:tblCellMar>
            <w:top w:w="0" w:type="dxa"/>
            <w:left w:w="0" w:type="dxa"/>
            <w:bottom w:w="0" w:type="dxa"/>
            <w:right w:w="0" w:type="dxa"/>
          </w:tblCellMar>
        </w:tblPrEx>
        <w:trPr>
          <w:trHeight w:val="600" w:hRule="atLeast"/>
          <w:jc w:val="center"/>
        </w:trPr>
        <w:tc>
          <w:tcPr>
            <w:tcW w:w="7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6</w:t>
            </w:r>
          </w:p>
        </w:tc>
        <w:tc>
          <w:tcPr>
            <w:tcW w:w="1135"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szCs w:val="21"/>
              </w:rPr>
            </w:pPr>
          </w:p>
        </w:tc>
        <w:tc>
          <w:tcPr>
            <w:tcW w:w="188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奔图P3205DN</w:t>
            </w:r>
          </w:p>
        </w:tc>
        <w:tc>
          <w:tcPr>
            <w:tcW w:w="15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奔图P3205DN</w:t>
            </w:r>
          </w:p>
        </w:tc>
        <w:tc>
          <w:tcPr>
            <w:tcW w:w="181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硒鼓</w:t>
            </w:r>
          </w:p>
        </w:tc>
        <w:tc>
          <w:tcPr>
            <w:tcW w:w="125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507.67 </w:t>
            </w:r>
          </w:p>
        </w:tc>
      </w:tr>
      <w:tr>
        <w:tblPrEx>
          <w:tblLayout w:type="fixed"/>
          <w:tblCellMar>
            <w:top w:w="0" w:type="dxa"/>
            <w:left w:w="0" w:type="dxa"/>
            <w:bottom w:w="0" w:type="dxa"/>
            <w:right w:w="0" w:type="dxa"/>
          </w:tblCellMar>
        </w:tblPrEx>
        <w:trPr>
          <w:trHeight w:val="600" w:hRule="atLeast"/>
          <w:jc w:val="center"/>
        </w:trPr>
        <w:tc>
          <w:tcPr>
            <w:tcW w:w="7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7</w:t>
            </w:r>
          </w:p>
        </w:tc>
        <w:tc>
          <w:tcPr>
            <w:tcW w:w="1135"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szCs w:val="21"/>
              </w:rPr>
            </w:pPr>
          </w:p>
        </w:tc>
        <w:tc>
          <w:tcPr>
            <w:tcW w:w="188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奔图 P3205DN</w:t>
            </w:r>
            <w:r>
              <w:rPr>
                <w:rFonts w:hint="eastAsia" w:ascii="宋体" w:hAnsi="宋体"/>
                <w:color w:val="000000"/>
                <w:kern w:val="0"/>
              </w:rPr>
              <w:br w:type="textWrapping"/>
            </w:r>
            <w:r>
              <w:rPr>
                <w:rFonts w:hint="eastAsia" w:ascii="宋体" w:hAnsi="宋体"/>
                <w:color w:val="000000"/>
                <w:kern w:val="0"/>
              </w:rPr>
              <w:t xml:space="preserve"> CTL-300 碳粉筒</w:t>
            </w:r>
          </w:p>
        </w:tc>
        <w:tc>
          <w:tcPr>
            <w:tcW w:w="15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60" w:lineRule="auto"/>
              <w:jc w:val="center"/>
              <w:rPr>
                <w:rFonts w:ascii="宋体" w:hAnsi="宋体"/>
                <w:color w:val="000000"/>
              </w:rPr>
            </w:pPr>
          </w:p>
        </w:tc>
        <w:tc>
          <w:tcPr>
            <w:tcW w:w="181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黑色墨粉筒</w:t>
            </w:r>
          </w:p>
        </w:tc>
        <w:tc>
          <w:tcPr>
            <w:tcW w:w="125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591.00 </w:t>
            </w:r>
          </w:p>
        </w:tc>
      </w:tr>
      <w:tr>
        <w:tblPrEx>
          <w:tblLayout w:type="fixed"/>
          <w:tblCellMar>
            <w:top w:w="0" w:type="dxa"/>
            <w:left w:w="0" w:type="dxa"/>
            <w:bottom w:w="0" w:type="dxa"/>
            <w:right w:w="0" w:type="dxa"/>
          </w:tblCellMar>
        </w:tblPrEx>
        <w:trPr>
          <w:trHeight w:val="600" w:hRule="atLeast"/>
          <w:jc w:val="center"/>
        </w:trPr>
        <w:tc>
          <w:tcPr>
            <w:tcW w:w="7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8</w:t>
            </w:r>
          </w:p>
        </w:tc>
        <w:tc>
          <w:tcPr>
            <w:tcW w:w="1135"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szCs w:val="21"/>
              </w:rPr>
            </w:pPr>
          </w:p>
        </w:tc>
        <w:tc>
          <w:tcPr>
            <w:tcW w:w="188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奔图 P3205DN</w:t>
            </w:r>
            <w:r>
              <w:rPr>
                <w:rFonts w:hint="eastAsia" w:ascii="宋体" w:hAnsi="宋体"/>
                <w:color w:val="000000"/>
                <w:kern w:val="0"/>
              </w:rPr>
              <w:br w:type="textWrapping"/>
            </w:r>
            <w:r>
              <w:rPr>
                <w:rFonts w:hint="eastAsia" w:ascii="宋体" w:hAnsi="宋体"/>
                <w:color w:val="000000"/>
                <w:kern w:val="0"/>
              </w:rPr>
              <w:t xml:space="preserve"> CTL-300 碳粉筒</w:t>
            </w:r>
          </w:p>
        </w:tc>
        <w:tc>
          <w:tcPr>
            <w:tcW w:w="15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60" w:lineRule="auto"/>
              <w:jc w:val="center"/>
              <w:rPr>
                <w:rFonts w:ascii="宋体" w:hAnsi="宋体"/>
                <w:color w:val="000000"/>
              </w:rPr>
            </w:pPr>
          </w:p>
        </w:tc>
        <w:tc>
          <w:tcPr>
            <w:tcW w:w="181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彩色墨粉筒</w:t>
            </w:r>
          </w:p>
        </w:tc>
        <w:tc>
          <w:tcPr>
            <w:tcW w:w="125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501.00 </w:t>
            </w:r>
          </w:p>
        </w:tc>
      </w:tr>
      <w:tr>
        <w:tblPrEx>
          <w:tblLayout w:type="fixed"/>
          <w:tblCellMar>
            <w:top w:w="0" w:type="dxa"/>
            <w:left w:w="0" w:type="dxa"/>
            <w:bottom w:w="0" w:type="dxa"/>
            <w:right w:w="0" w:type="dxa"/>
          </w:tblCellMar>
        </w:tblPrEx>
        <w:trPr>
          <w:trHeight w:val="600" w:hRule="atLeast"/>
          <w:jc w:val="center"/>
        </w:trPr>
        <w:tc>
          <w:tcPr>
            <w:tcW w:w="7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9</w:t>
            </w:r>
          </w:p>
        </w:tc>
        <w:tc>
          <w:tcPr>
            <w:tcW w:w="1135"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szCs w:val="21"/>
              </w:rPr>
            </w:pPr>
          </w:p>
        </w:tc>
        <w:tc>
          <w:tcPr>
            <w:tcW w:w="188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奔图P3305DN</w:t>
            </w:r>
          </w:p>
        </w:tc>
        <w:tc>
          <w:tcPr>
            <w:tcW w:w="15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60" w:lineRule="auto"/>
              <w:jc w:val="center"/>
              <w:rPr>
                <w:rFonts w:ascii="宋体" w:hAnsi="宋体"/>
                <w:color w:val="000000"/>
              </w:rPr>
            </w:pPr>
          </w:p>
        </w:tc>
        <w:tc>
          <w:tcPr>
            <w:tcW w:w="181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硒鼓</w:t>
            </w:r>
          </w:p>
        </w:tc>
        <w:tc>
          <w:tcPr>
            <w:tcW w:w="125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313.00 </w:t>
            </w:r>
          </w:p>
        </w:tc>
      </w:tr>
      <w:tr>
        <w:tblPrEx>
          <w:tblLayout w:type="fixed"/>
          <w:tblCellMar>
            <w:top w:w="0" w:type="dxa"/>
            <w:left w:w="0" w:type="dxa"/>
            <w:bottom w:w="0" w:type="dxa"/>
            <w:right w:w="0" w:type="dxa"/>
          </w:tblCellMar>
        </w:tblPrEx>
        <w:trPr>
          <w:trHeight w:val="600" w:hRule="atLeast"/>
          <w:jc w:val="center"/>
        </w:trPr>
        <w:tc>
          <w:tcPr>
            <w:tcW w:w="7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10</w:t>
            </w:r>
          </w:p>
        </w:tc>
        <w:tc>
          <w:tcPr>
            <w:tcW w:w="1135"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szCs w:val="21"/>
              </w:rPr>
            </w:pPr>
          </w:p>
        </w:tc>
        <w:tc>
          <w:tcPr>
            <w:tcW w:w="188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奔图 CM265ADN 多功能打印扫描一体机</w:t>
            </w:r>
          </w:p>
        </w:tc>
        <w:tc>
          <w:tcPr>
            <w:tcW w:w="15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60" w:lineRule="auto"/>
              <w:jc w:val="center"/>
              <w:rPr>
                <w:rFonts w:ascii="宋体" w:hAnsi="宋体"/>
                <w:color w:val="000000"/>
              </w:rPr>
            </w:pPr>
          </w:p>
        </w:tc>
        <w:tc>
          <w:tcPr>
            <w:tcW w:w="181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黑色粉盒</w:t>
            </w:r>
          </w:p>
        </w:tc>
        <w:tc>
          <w:tcPr>
            <w:tcW w:w="125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905.00 </w:t>
            </w:r>
          </w:p>
        </w:tc>
      </w:tr>
      <w:tr>
        <w:tblPrEx>
          <w:tblLayout w:type="fixed"/>
          <w:tblCellMar>
            <w:top w:w="0" w:type="dxa"/>
            <w:left w:w="0" w:type="dxa"/>
            <w:bottom w:w="0" w:type="dxa"/>
            <w:right w:w="0" w:type="dxa"/>
          </w:tblCellMar>
        </w:tblPrEx>
        <w:trPr>
          <w:trHeight w:val="600" w:hRule="atLeast"/>
          <w:jc w:val="center"/>
        </w:trPr>
        <w:tc>
          <w:tcPr>
            <w:tcW w:w="7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11</w:t>
            </w:r>
          </w:p>
        </w:tc>
        <w:tc>
          <w:tcPr>
            <w:tcW w:w="1135"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szCs w:val="21"/>
              </w:rPr>
            </w:pPr>
          </w:p>
        </w:tc>
        <w:tc>
          <w:tcPr>
            <w:tcW w:w="188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奔图 CM265ADN 多功能打印扫描一体机</w:t>
            </w:r>
          </w:p>
        </w:tc>
        <w:tc>
          <w:tcPr>
            <w:tcW w:w="15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60" w:lineRule="auto"/>
              <w:jc w:val="center"/>
              <w:rPr>
                <w:rFonts w:ascii="宋体" w:hAnsi="宋体"/>
                <w:color w:val="000000"/>
              </w:rPr>
            </w:pPr>
          </w:p>
        </w:tc>
        <w:tc>
          <w:tcPr>
            <w:tcW w:w="181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彩色粉盒</w:t>
            </w:r>
          </w:p>
        </w:tc>
        <w:tc>
          <w:tcPr>
            <w:tcW w:w="125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1345.00 </w:t>
            </w:r>
          </w:p>
        </w:tc>
      </w:tr>
      <w:tr>
        <w:tblPrEx>
          <w:tblLayout w:type="fixed"/>
          <w:tblCellMar>
            <w:top w:w="0" w:type="dxa"/>
            <w:left w:w="0" w:type="dxa"/>
            <w:bottom w:w="0" w:type="dxa"/>
            <w:right w:w="0" w:type="dxa"/>
          </w:tblCellMar>
        </w:tblPrEx>
        <w:trPr>
          <w:trHeight w:val="600" w:hRule="atLeast"/>
          <w:jc w:val="center"/>
        </w:trPr>
        <w:tc>
          <w:tcPr>
            <w:tcW w:w="7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12</w:t>
            </w:r>
          </w:p>
        </w:tc>
        <w:tc>
          <w:tcPr>
            <w:tcW w:w="1135"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szCs w:val="21"/>
              </w:rPr>
            </w:pPr>
          </w:p>
        </w:tc>
        <w:tc>
          <w:tcPr>
            <w:tcW w:w="188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CM1155ADN</w:t>
            </w:r>
          </w:p>
        </w:tc>
        <w:tc>
          <w:tcPr>
            <w:tcW w:w="15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60" w:lineRule="auto"/>
              <w:jc w:val="center"/>
              <w:rPr>
                <w:rFonts w:ascii="宋体" w:hAnsi="宋体"/>
                <w:color w:val="000000"/>
              </w:rPr>
            </w:pPr>
          </w:p>
        </w:tc>
        <w:tc>
          <w:tcPr>
            <w:tcW w:w="181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黑色粉盒</w:t>
            </w:r>
          </w:p>
        </w:tc>
        <w:tc>
          <w:tcPr>
            <w:tcW w:w="125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529.67 </w:t>
            </w:r>
          </w:p>
        </w:tc>
      </w:tr>
      <w:tr>
        <w:tblPrEx>
          <w:tblLayout w:type="fixed"/>
          <w:tblCellMar>
            <w:top w:w="0" w:type="dxa"/>
            <w:left w:w="0" w:type="dxa"/>
            <w:bottom w:w="0" w:type="dxa"/>
            <w:right w:w="0" w:type="dxa"/>
          </w:tblCellMar>
        </w:tblPrEx>
        <w:trPr>
          <w:trHeight w:val="600" w:hRule="atLeast"/>
          <w:jc w:val="center"/>
        </w:trPr>
        <w:tc>
          <w:tcPr>
            <w:tcW w:w="7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13</w:t>
            </w:r>
          </w:p>
        </w:tc>
        <w:tc>
          <w:tcPr>
            <w:tcW w:w="1135"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szCs w:val="21"/>
              </w:rPr>
            </w:pPr>
          </w:p>
        </w:tc>
        <w:tc>
          <w:tcPr>
            <w:tcW w:w="188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CM1155ADN</w:t>
            </w:r>
          </w:p>
        </w:tc>
        <w:tc>
          <w:tcPr>
            <w:tcW w:w="15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60" w:lineRule="auto"/>
              <w:jc w:val="center"/>
              <w:rPr>
                <w:rFonts w:ascii="宋体" w:hAnsi="宋体"/>
                <w:color w:val="000000"/>
              </w:rPr>
            </w:pPr>
          </w:p>
        </w:tc>
        <w:tc>
          <w:tcPr>
            <w:tcW w:w="181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彩色粉盒</w:t>
            </w:r>
          </w:p>
        </w:tc>
        <w:tc>
          <w:tcPr>
            <w:tcW w:w="125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499.67 </w:t>
            </w:r>
          </w:p>
        </w:tc>
      </w:tr>
      <w:tr>
        <w:tblPrEx>
          <w:tblLayout w:type="fixed"/>
          <w:tblCellMar>
            <w:top w:w="0" w:type="dxa"/>
            <w:left w:w="0" w:type="dxa"/>
            <w:bottom w:w="0" w:type="dxa"/>
            <w:right w:w="0" w:type="dxa"/>
          </w:tblCellMar>
        </w:tblPrEx>
        <w:trPr>
          <w:trHeight w:val="600" w:hRule="atLeast"/>
          <w:jc w:val="center"/>
        </w:trPr>
        <w:tc>
          <w:tcPr>
            <w:tcW w:w="7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14</w:t>
            </w:r>
          </w:p>
        </w:tc>
        <w:tc>
          <w:tcPr>
            <w:tcW w:w="1135" w:type="dxa"/>
            <w:vMerge w:val="restart"/>
            <w:tcBorders>
              <w:top w:val="nil"/>
              <w:left w:val="nil"/>
              <w:bottom w:val="nil"/>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富士施乐 FUJI xerox</w:t>
            </w:r>
          </w:p>
        </w:tc>
        <w:tc>
          <w:tcPr>
            <w:tcW w:w="188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DocuCentre SC 2022</w:t>
            </w:r>
          </w:p>
        </w:tc>
        <w:tc>
          <w:tcPr>
            <w:tcW w:w="15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富士施乐 FUJI xerox原装碳粉</w:t>
            </w:r>
            <w:r>
              <w:rPr>
                <w:rFonts w:hint="eastAsia" w:ascii="宋体" w:hAnsi="宋体"/>
                <w:color w:val="000000"/>
                <w:kern w:val="0"/>
              </w:rPr>
              <w:br w:type="textWrapping"/>
            </w:r>
            <w:r>
              <w:rPr>
                <w:rFonts w:hint="eastAsia" w:ascii="宋体" w:hAnsi="宋体"/>
                <w:color w:val="000000"/>
                <w:kern w:val="0"/>
              </w:rPr>
              <w:t>DocuCentre SC 2022</w:t>
            </w:r>
          </w:p>
        </w:tc>
        <w:tc>
          <w:tcPr>
            <w:tcW w:w="181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黑色碳粉</w:t>
            </w:r>
          </w:p>
        </w:tc>
        <w:tc>
          <w:tcPr>
            <w:tcW w:w="125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301.00 </w:t>
            </w:r>
          </w:p>
        </w:tc>
      </w:tr>
      <w:tr>
        <w:tblPrEx>
          <w:tblLayout w:type="fixed"/>
          <w:tblCellMar>
            <w:top w:w="0" w:type="dxa"/>
            <w:left w:w="0" w:type="dxa"/>
            <w:bottom w:w="0" w:type="dxa"/>
            <w:right w:w="0" w:type="dxa"/>
          </w:tblCellMar>
        </w:tblPrEx>
        <w:trPr>
          <w:trHeight w:val="600" w:hRule="atLeast"/>
          <w:jc w:val="center"/>
        </w:trPr>
        <w:tc>
          <w:tcPr>
            <w:tcW w:w="7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15</w:t>
            </w:r>
          </w:p>
        </w:tc>
        <w:tc>
          <w:tcPr>
            <w:tcW w:w="1135" w:type="dxa"/>
            <w:vMerge w:val="continue"/>
            <w:tcBorders>
              <w:top w:val="nil"/>
              <w:left w:val="nil"/>
              <w:bottom w:val="nil"/>
              <w:right w:val="single" w:color="000000" w:sz="4" w:space="0"/>
            </w:tcBorders>
            <w:vAlign w:val="center"/>
          </w:tcPr>
          <w:p>
            <w:pPr>
              <w:widowControl/>
              <w:jc w:val="left"/>
              <w:rPr>
                <w:rFonts w:ascii="宋体" w:hAnsi="宋体"/>
                <w:color w:val="000000"/>
                <w:szCs w:val="21"/>
              </w:rPr>
            </w:pPr>
          </w:p>
        </w:tc>
        <w:tc>
          <w:tcPr>
            <w:tcW w:w="188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DocuCentre SC 2022</w:t>
            </w:r>
          </w:p>
        </w:tc>
        <w:tc>
          <w:tcPr>
            <w:tcW w:w="15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富士施乐 FUJI xerox原装碳粉</w:t>
            </w:r>
            <w:r>
              <w:rPr>
                <w:rFonts w:hint="eastAsia" w:ascii="宋体" w:hAnsi="宋体"/>
                <w:color w:val="000000"/>
                <w:kern w:val="0"/>
              </w:rPr>
              <w:br w:type="textWrapping"/>
            </w:r>
            <w:r>
              <w:rPr>
                <w:rFonts w:hint="eastAsia" w:ascii="宋体" w:hAnsi="宋体"/>
                <w:color w:val="000000"/>
                <w:kern w:val="0"/>
              </w:rPr>
              <w:t>DocuCentre SC 2022</w:t>
            </w:r>
          </w:p>
        </w:tc>
        <w:tc>
          <w:tcPr>
            <w:tcW w:w="181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彩色碳粉</w:t>
            </w:r>
          </w:p>
        </w:tc>
        <w:tc>
          <w:tcPr>
            <w:tcW w:w="125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350.67 </w:t>
            </w:r>
          </w:p>
        </w:tc>
      </w:tr>
      <w:tr>
        <w:tblPrEx>
          <w:tblLayout w:type="fixed"/>
          <w:tblCellMar>
            <w:top w:w="0" w:type="dxa"/>
            <w:left w:w="0" w:type="dxa"/>
            <w:bottom w:w="0" w:type="dxa"/>
            <w:right w:w="0" w:type="dxa"/>
          </w:tblCellMar>
        </w:tblPrEx>
        <w:trPr>
          <w:trHeight w:val="600" w:hRule="atLeast"/>
          <w:jc w:val="center"/>
        </w:trPr>
        <w:tc>
          <w:tcPr>
            <w:tcW w:w="7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16</w:t>
            </w:r>
          </w:p>
        </w:tc>
        <w:tc>
          <w:tcPr>
            <w:tcW w:w="1135" w:type="dxa"/>
            <w:vMerge w:val="continue"/>
            <w:tcBorders>
              <w:top w:val="nil"/>
              <w:left w:val="nil"/>
              <w:bottom w:val="nil"/>
              <w:right w:val="single" w:color="000000" w:sz="4" w:space="0"/>
            </w:tcBorders>
            <w:vAlign w:val="center"/>
          </w:tcPr>
          <w:p>
            <w:pPr>
              <w:widowControl/>
              <w:jc w:val="left"/>
              <w:rPr>
                <w:rFonts w:ascii="宋体" w:hAnsi="宋体"/>
                <w:color w:val="000000"/>
                <w:szCs w:val="21"/>
              </w:rPr>
            </w:pPr>
          </w:p>
        </w:tc>
        <w:tc>
          <w:tcPr>
            <w:tcW w:w="188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富士DocuCentre SC2022</w:t>
            </w:r>
            <w:r>
              <w:rPr>
                <w:rFonts w:hint="eastAsia" w:ascii="宋体" w:hAnsi="宋体"/>
                <w:color w:val="000000"/>
                <w:kern w:val="0"/>
              </w:rPr>
              <w:br w:type="textWrapping"/>
            </w:r>
            <w:r>
              <w:rPr>
                <w:rFonts w:hint="eastAsia" w:ascii="宋体" w:hAnsi="宋体"/>
                <w:color w:val="000000"/>
                <w:kern w:val="0"/>
              </w:rPr>
              <w:t>(Model-CPS DA)</w:t>
            </w:r>
          </w:p>
        </w:tc>
        <w:tc>
          <w:tcPr>
            <w:tcW w:w="15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显影剂载体粉（黑）</w:t>
            </w:r>
          </w:p>
        </w:tc>
        <w:tc>
          <w:tcPr>
            <w:tcW w:w="181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黑色显影剂载体粉</w:t>
            </w:r>
          </w:p>
        </w:tc>
        <w:tc>
          <w:tcPr>
            <w:tcW w:w="125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194.33 </w:t>
            </w:r>
          </w:p>
        </w:tc>
      </w:tr>
      <w:tr>
        <w:tblPrEx>
          <w:tblLayout w:type="fixed"/>
          <w:tblCellMar>
            <w:top w:w="0" w:type="dxa"/>
            <w:left w:w="0" w:type="dxa"/>
            <w:bottom w:w="0" w:type="dxa"/>
            <w:right w:w="0" w:type="dxa"/>
          </w:tblCellMar>
        </w:tblPrEx>
        <w:trPr>
          <w:trHeight w:val="600" w:hRule="atLeast"/>
          <w:jc w:val="center"/>
        </w:trPr>
        <w:tc>
          <w:tcPr>
            <w:tcW w:w="7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17</w:t>
            </w:r>
          </w:p>
        </w:tc>
        <w:tc>
          <w:tcPr>
            <w:tcW w:w="1135" w:type="dxa"/>
            <w:vMerge w:val="continue"/>
            <w:tcBorders>
              <w:top w:val="nil"/>
              <w:left w:val="nil"/>
              <w:bottom w:val="nil"/>
              <w:right w:val="single" w:color="000000" w:sz="4" w:space="0"/>
            </w:tcBorders>
            <w:vAlign w:val="center"/>
          </w:tcPr>
          <w:p>
            <w:pPr>
              <w:widowControl/>
              <w:jc w:val="left"/>
              <w:rPr>
                <w:rFonts w:ascii="宋体" w:hAnsi="宋体"/>
                <w:color w:val="000000"/>
                <w:szCs w:val="21"/>
              </w:rPr>
            </w:pPr>
          </w:p>
        </w:tc>
        <w:tc>
          <w:tcPr>
            <w:tcW w:w="188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富士DocuCentre SC2022</w:t>
            </w:r>
            <w:r>
              <w:rPr>
                <w:rFonts w:hint="eastAsia" w:ascii="宋体" w:hAnsi="宋体"/>
                <w:color w:val="000000"/>
                <w:kern w:val="0"/>
              </w:rPr>
              <w:br w:type="textWrapping"/>
            </w:r>
            <w:r>
              <w:rPr>
                <w:rFonts w:hint="eastAsia" w:ascii="宋体" w:hAnsi="宋体"/>
                <w:color w:val="000000"/>
                <w:kern w:val="0"/>
              </w:rPr>
              <w:t>(Model-CPS DA)</w:t>
            </w:r>
          </w:p>
        </w:tc>
        <w:tc>
          <w:tcPr>
            <w:tcW w:w="15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显影剂载体粉（红/黄/青）</w:t>
            </w:r>
          </w:p>
        </w:tc>
        <w:tc>
          <w:tcPr>
            <w:tcW w:w="181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彩色显影剂载体粉</w:t>
            </w:r>
          </w:p>
        </w:tc>
        <w:tc>
          <w:tcPr>
            <w:tcW w:w="125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194.33 </w:t>
            </w:r>
          </w:p>
        </w:tc>
      </w:tr>
      <w:tr>
        <w:tblPrEx>
          <w:tblLayout w:type="fixed"/>
          <w:tblCellMar>
            <w:top w:w="0" w:type="dxa"/>
            <w:left w:w="0" w:type="dxa"/>
            <w:bottom w:w="0" w:type="dxa"/>
            <w:right w:w="0" w:type="dxa"/>
          </w:tblCellMar>
        </w:tblPrEx>
        <w:trPr>
          <w:trHeight w:val="600" w:hRule="atLeast"/>
          <w:jc w:val="center"/>
        </w:trPr>
        <w:tc>
          <w:tcPr>
            <w:tcW w:w="7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18</w:t>
            </w:r>
          </w:p>
        </w:tc>
        <w:tc>
          <w:tcPr>
            <w:tcW w:w="1135" w:type="dxa"/>
            <w:vMerge w:val="continue"/>
            <w:tcBorders>
              <w:top w:val="nil"/>
              <w:left w:val="nil"/>
              <w:bottom w:val="nil"/>
              <w:right w:val="single" w:color="000000" w:sz="4" w:space="0"/>
            </w:tcBorders>
            <w:vAlign w:val="center"/>
          </w:tcPr>
          <w:p>
            <w:pPr>
              <w:widowControl/>
              <w:jc w:val="left"/>
              <w:rPr>
                <w:rFonts w:ascii="宋体" w:hAnsi="宋体"/>
                <w:color w:val="000000"/>
                <w:szCs w:val="21"/>
              </w:rPr>
            </w:pPr>
          </w:p>
        </w:tc>
        <w:tc>
          <w:tcPr>
            <w:tcW w:w="188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DocuCentre SC2022</w:t>
            </w:r>
          </w:p>
        </w:tc>
        <w:tc>
          <w:tcPr>
            <w:tcW w:w="15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黑色显影组件</w:t>
            </w:r>
          </w:p>
        </w:tc>
        <w:tc>
          <w:tcPr>
            <w:tcW w:w="181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原装耗材</w:t>
            </w:r>
          </w:p>
        </w:tc>
        <w:tc>
          <w:tcPr>
            <w:tcW w:w="125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752.67 </w:t>
            </w:r>
          </w:p>
        </w:tc>
      </w:tr>
      <w:tr>
        <w:tblPrEx>
          <w:tblLayout w:type="fixed"/>
          <w:tblCellMar>
            <w:top w:w="0" w:type="dxa"/>
            <w:left w:w="0" w:type="dxa"/>
            <w:bottom w:w="0" w:type="dxa"/>
            <w:right w:w="0" w:type="dxa"/>
          </w:tblCellMar>
        </w:tblPrEx>
        <w:trPr>
          <w:trHeight w:val="600" w:hRule="atLeast"/>
          <w:jc w:val="center"/>
        </w:trPr>
        <w:tc>
          <w:tcPr>
            <w:tcW w:w="7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19</w:t>
            </w:r>
          </w:p>
        </w:tc>
        <w:tc>
          <w:tcPr>
            <w:tcW w:w="1135" w:type="dxa"/>
            <w:vMerge w:val="continue"/>
            <w:tcBorders>
              <w:top w:val="nil"/>
              <w:left w:val="nil"/>
              <w:bottom w:val="nil"/>
              <w:right w:val="single" w:color="000000" w:sz="4" w:space="0"/>
            </w:tcBorders>
            <w:vAlign w:val="center"/>
          </w:tcPr>
          <w:p>
            <w:pPr>
              <w:widowControl/>
              <w:jc w:val="left"/>
              <w:rPr>
                <w:rFonts w:ascii="宋体" w:hAnsi="宋体"/>
                <w:color w:val="000000"/>
                <w:szCs w:val="21"/>
              </w:rPr>
            </w:pPr>
          </w:p>
        </w:tc>
        <w:tc>
          <w:tcPr>
            <w:tcW w:w="188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DocuCentre SC2022</w:t>
            </w:r>
          </w:p>
        </w:tc>
        <w:tc>
          <w:tcPr>
            <w:tcW w:w="15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红/黄/青色显影组件</w:t>
            </w:r>
          </w:p>
        </w:tc>
        <w:tc>
          <w:tcPr>
            <w:tcW w:w="181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原装耗材</w:t>
            </w:r>
          </w:p>
        </w:tc>
        <w:tc>
          <w:tcPr>
            <w:tcW w:w="125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752.67 </w:t>
            </w:r>
          </w:p>
        </w:tc>
      </w:tr>
      <w:tr>
        <w:tblPrEx>
          <w:tblLayout w:type="fixed"/>
          <w:tblCellMar>
            <w:top w:w="0" w:type="dxa"/>
            <w:left w:w="0" w:type="dxa"/>
            <w:bottom w:w="0" w:type="dxa"/>
            <w:right w:w="0" w:type="dxa"/>
          </w:tblCellMar>
        </w:tblPrEx>
        <w:trPr>
          <w:trHeight w:val="600" w:hRule="atLeast"/>
          <w:jc w:val="center"/>
        </w:trPr>
        <w:tc>
          <w:tcPr>
            <w:tcW w:w="7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20</w:t>
            </w:r>
          </w:p>
        </w:tc>
        <w:tc>
          <w:tcPr>
            <w:tcW w:w="1135" w:type="dxa"/>
            <w:vMerge w:val="continue"/>
            <w:tcBorders>
              <w:top w:val="nil"/>
              <w:left w:val="nil"/>
              <w:bottom w:val="nil"/>
              <w:right w:val="single" w:color="000000" w:sz="4" w:space="0"/>
            </w:tcBorders>
            <w:vAlign w:val="center"/>
          </w:tcPr>
          <w:p>
            <w:pPr>
              <w:widowControl/>
              <w:jc w:val="left"/>
              <w:rPr>
                <w:rFonts w:ascii="宋体" w:hAnsi="宋体"/>
                <w:color w:val="000000"/>
                <w:szCs w:val="21"/>
              </w:rPr>
            </w:pPr>
          </w:p>
        </w:tc>
        <w:tc>
          <w:tcPr>
            <w:tcW w:w="188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DocuCentre SC 2022</w:t>
            </w:r>
          </w:p>
        </w:tc>
        <w:tc>
          <w:tcPr>
            <w:tcW w:w="15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 </w:t>
            </w:r>
          </w:p>
        </w:tc>
        <w:tc>
          <w:tcPr>
            <w:tcW w:w="181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废粉盒</w:t>
            </w:r>
          </w:p>
        </w:tc>
        <w:tc>
          <w:tcPr>
            <w:tcW w:w="125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424.67 </w:t>
            </w:r>
          </w:p>
        </w:tc>
      </w:tr>
      <w:tr>
        <w:tblPrEx>
          <w:tblLayout w:type="fixed"/>
          <w:tblCellMar>
            <w:top w:w="0" w:type="dxa"/>
            <w:left w:w="0" w:type="dxa"/>
            <w:bottom w:w="0" w:type="dxa"/>
            <w:right w:w="0" w:type="dxa"/>
          </w:tblCellMar>
        </w:tblPrEx>
        <w:trPr>
          <w:trHeight w:val="600" w:hRule="atLeast"/>
          <w:jc w:val="center"/>
        </w:trPr>
        <w:tc>
          <w:tcPr>
            <w:tcW w:w="7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21</w:t>
            </w:r>
          </w:p>
        </w:tc>
        <w:tc>
          <w:tcPr>
            <w:tcW w:w="113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光电通</w:t>
            </w:r>
          </w:p>
        </w:tc>
        <w:tc>
          <w:tcPr>
            <w:tcW w:w="188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光电通传真机OEF716M硒鼓</w:t>
            </w:r>
          </w:p>
        </w:tc>
        <w:tc>
          <w:tcPr>
            <w:tcW w:w="15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OEF716M 硒鼓</w:t>
            </w:r>
          </w:p>
        </w:tc>
        <w:tc>
          <w:tcPr>
            <w:tcW w:w="181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硒鼓</w:t>
            </w:r>
          </w:p>
        </w:tc>
        <w:tc>
          <w:tcPr>
            <w:tcW w:w="125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547.67 </w:t>
            </w:r>
          </w:p>
        </w:tc>
      </w:tr>
      <w:tr>
        <w:tblPrEx>
          <w:tblLayout w:type="fixed"/>
          <w:tblCellMar>
            <w:top w:w="0" w:type="dxa"/>
            <w:left w:w="0" w:type="dxa"/>
            <w:bottom w:w="0" w:type="dxa"/>
            <w:right w:w="0" w:type="dxa"/>
          </w:tblCellMar>
        </w:tblPrEx>
        <w:trPr>
          <w:trHeight w:val="600" w:hRule="atLeast"/>
          <w:jc w:val="center"/>
        </w:trPr>
        <w:tc>
          <w:tcPr>
            <w:tcW w:w="7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22</w:t>
            </w:r>
          </w:p>
        </w:tc>
        <w:tc>
          <w:tcPr>
            <w:tcW w:w="113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光敏印油NO.9879</w:t>
            </w:r>
          </w:p>
        </w:tc>
        <w:tc>
          <w:tcPr>
            <w:tcW w:w="188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光敏印油NO.9879 10ml</w:t>
            </w:r>
          </w:p>
        </w:tc>
        <w:tc>
          <w:tcPr>
            <w:tcW w:w="15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60" w:lineRule="auto"/>
              <w:jc w:val="center"/>
              <w:rPr>
                <w:rFonts w:ascii="宋体" w:hAnsi="宋体"/>
                <w:color w:val="000000"/>
              </w:rPr>
            </w:pPr>
          </w:p>
        </w:tc>
        <w:tc>
          <w:tcPr>
            <w:tcW w:w="181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各种颜色</w:t>
            </w:r>
          </w:p>
        </w:tc>
        <w:tc>
          <w:tcPr>
            <w:tcW w:w="125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19.67 </w:t>
            </w:r>
          </w:p>
        </w:tc>
      </w:tr>
      <w:tr>
        <w:tblPrEx>
          <w:tblLayout w:type="fixed"/>
          <w:tblCellMar>
            <w:top w:w="0" w:type="dxa"/>
            <w:left w:w="0" w:type="dxa"/>
            <w:bottom w:w="0" w:type="dxa"/>
            <w:right w:w="0" w:type="dxa"/>
          </w:tblCellMar>
        </w:tblPrEx>
        <w:trPr>
          <w:trHeight w:val="600" w:hRule="atLeast"/>
          <w:jc w:val="center"/>
        </w:trPr>
        <w:tc>
          <w:tcPr>
            <w:tcW w:w="7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23</w:t>
            </w:r>
          </w:p>
        </w:tc>
        <w:tc>
          <w:tcPr>
            <w:tcW w:w="1135"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惠普</w:t>
            </w:r>
          </w:p>
        </w:tc>
        <w:tc>
          <w:tcPr>
            <w:tcW w:w="188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惠普cp5225</w:t>
            </w:r>
          </w:p>
        </w:tc>
        <w:tc>
          <w:tcPr>
            <w:tcW w:w="15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307A</w:t>
            </w:r>
          </w:p>
        </w:tc>
        <w:tc>
          <w:tcPr>
            <w:tcW w:w="181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黑色硒鼓</w:t>
            </w:r>
          </w:p>
        </w:tc>
        <w:tc>
          <w:tcPr>
            <w:tcW w:w="125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1347.67 </w:t>
            </w:r>
          </w:p>
        </w:tc>
      </w:tr>
      <w:tr>
        <w:tblPrEx>
          <w:tblLayout w:type="fixed"/>
          <w:tblCellMar>
            <w:top w:w="0" w:type="dxa"/>
            <w:left w:w="0" w:type="dxa"/>
            <w:bottom w:w="0" w:type="dxa"/>
            <w:right w:w="0" w:type="dxa"/>
          </w:tblCellMar>
        </w:tblPrEx>
        <w:trPr>
          <w:trHeight w:val="600" w:hRule="atLeast"/>
          <w:jc w:val="center"/>
        </w:trPr>
        <w:tc>
          <w:tcPr>
            <w:tcW w:w="7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24</w:t>
            </w:r>
          </w:p>
        </w:tc>
        <w:tc>
          <w:tcPr>
            <w:tcW w:w="1135"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szCs w:val="21"/>
              </w:rPr>
            </w:pPr>
          </w:p>
        </w:tc>
        <w:tc>
          <w:tcPr>
            <w:tcW w:w="188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惠普cp5225</w:t>
            </w:r>
          </w:p>
        </w:tc>
        <w:tc>
          <w:tcPr>
            <w:tcW w:w="15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60" w:lineRule="auto"/>
              <w:jc w:val="center"/>
              <w:rPr>
                <w:rFonts w:ascii="宋体" w:hAnsi="宋体"/>
                <w:color w:val="000000"/>
              </w:rPr>
            </w:pPr>
          </w:p>
        </w:tc>
        <w:tc>
          <w:tcPr>
            <w:tcW w:w="181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黑色碳粉</w:t>
            </w:r>
          </w:p>
        </w:tc>
        <w:tc>
          <w:tcPr>
            <w:tcW w:w="125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1650.00 </w:t>
            </w:r>
          </w:p>
        </w:tc>
      </w:tr>
      <w:tr>
        <w:tblPrEx>
          <w:tblLayout w:type="fixed"/>
          <w:tblCellMar>
            <w:top w:w="0" w:type="dxa"/>
            <w:left w:w="0" w:type="dxa"/>
            <w:bottom w:w="0" w:type="dxa"/>
            <w:right w:w="0" w:type="dxa"/>
          </w:tblCellMar>
        </w:tblPrEx>
        <w:trPr>
          <w:trHeight w:val="600" w:hRule="atLeast"/>
          <w:jc w:val="center"/>
        </w:trPr>
        <w:tc>
          <w:tcPr>
            <w:tcW w:w="7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25</w:t>
            </w:r>
          </w:p>
        </w:tc>
        <w:tc>
          <w:tcPr>
            <w:tcW w:w="1135"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szCs w:val="21"/>
              </w:rPr>
            </w:pPr>
          </w:p>
        </w:tc>
        <w:tc>
          <w:tcPr>
            <w:tcW w:w="188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惠普cp5225</w:t>
            </w:r>
          </w:p>
        </w:tc>
        <w:tc>
          <w:tcPr>
            <w:tcW w:w="15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60" w:lineRule="auto"/>
              <w:jc w:val="center"/>
              <w:rPr>
                <w:rFonts w:ascii="宋体" w:hAnsi="宋体"/>
                <w:color w:val="000000"/>
              </w:rPr>
            </w:pPr>
          </w:p>
        </w:tc>
        <w:tc>
          <w:tcPr>
            <w:tcW w:w="181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彩色碳粉</w:t>
            </w:r>
          </w:p>
        </w:tc>
        <w:tc>
          <w:tcPr>
            <w:tcW w:w="125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1733.33 </w:t>
            </w:r>
          </w:p>
        </w:tc>
      </w:tr>
      <w:tr>
        <w:tblPrEx>
          <w:tblLayout w:type="fixed"/>
          <w:tblCellMar>
            <w:top w:w="0" w:type="dxa"/>
            <w:left w:w="0" w:type="dxa"/>
            <w:bottom w:w="0" w:type="dxa"/>
            <w:right w:w="0" w:type="dxa"/>
          </w:tblCellMar>
        </w:tblPrEx>
        <w:trPr>
          <w:trHeight w:val="600" w:hRule="atLeast"/>
          <w:jc w:val="center"/>
        </w:trPr>
        <w:tc>
          <w:tcPr>
            <w:tcW w:w="7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26</w:t>
            </w:r>
          </w:p>
        </w:tc>
        <w:tc>
          <w:tcPr>
            <w:tcW w:w="1135"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szCs w:val="21"/>
              </w:rPr>
            </w:pPr>
          </w:p>
        </w:tc>
        <w:tc>
          <w:tcPr>
            <w:tcW w:w="188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惠普officeJet Pro8216</w:t>
            </w:r>
          </w:p>
        </w:tc>
        <w:tc>
          <w:tcPr>
            <w:tcW w:w="15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60" w:lineRule="auto"/>
              <w:jc w:val="center"/>
              <w:rPr>
                <w:rFonts w:ascii="宋体" w:hAnsi="宋体"/>
                <w:color w:val="000000"/>
              </w:rPr>
            </w:pPr>
          </w:p>
        </w:tc>
        <w:tc>
          <w:tcPr>
            <w:tcW w:w="181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硒鼓</w:t>
            </w:r>
          </w:p>
        </w:tc>
        <w:tc>
          <w:tcPr>
            <w:tcW w:w="125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235.67 </w:t>
            </w:r>
          </w:p>
        </w:tc>
      </w:tr>
      <w:tr>
        <w:tblPrEx>
          <w:tblLayout w:type="fixed"/>
          <w:tblCellMar>
            <w:top w:w="0" w:type="dxa"/>
            <w:left w:w="0" w:type="dxa"/>
            <w:bottom w:w="0" w:type="dxa"/>
            <w:right w:w="0" w:type="dxa"/>
          </w:tblCellMar>
        </w:tblPrEx>
        <w:trPr>
          <w:trHeight w:val="600" w:hRule="atLeast"/>
          <w:jc w:val="center"/>
        </w:trPr>
        <w:tc>
          <w:tcPr>
            <w:tcW w:w="7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27</w:t>
            </w:r>
          </w:p>
        </w:tc>
        <w:tc>
          <w:tcPr>
            <w:tcW w:w="1135"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szCs w:val="21"/>
              </w:rPr>
            </w:pPr>
          </w:p>
        </w:tc>
        <w:tc>
          <w:tcPr>
            <w:tcW w:w="188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HP400 M401D双面打印机</w:t>
            </w:r>
          </w:p>
        </w:tc>
        <w:tc>
          <w:tcPr>
            <w:tcW w:w="15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60" w:lineRule="auto"/>
              <w:jc w:val="center"/>
              <w:rPr>
                <w:rFonts w:ascii="宋体" w:hAnsi="宋体"/>
                <w:color w:val="000000"/>
              </w:rPr>
            </w:pPr>
          </w:p>
        </w:tc>
        <w:tc>
          <w:tcPr>
            <w:tcW w:w="181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硒鼓</w:t>
            </w:r>
          </w:p>
        </w:tc>
        <w:tc>
          <w:tcPr>
            <w:tcW w:w="125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900.67 </w:t>
            </w:r>
          </w:p>
        </w:tc>
      </w:tr>
      <w:tr>
        <w:tblPrEx>
          <w:tblLayout w:type="fixed"/>
          <w:tblCellMar>
            <w:top w:w="0" w:type="dxa"/>
            <w:left w:w="0" w:type="dxa"/>
            <w:bottom w:w="0" w:type="dxa"/>
            <w:right w:w="0" w:type="dxa"/>
          </w:tblCellMar>
        </w:tblPrEx>
        <w:trPr>
          <w:trHeight w:val="600" w:hRule="atLeast"/>
          <w:jc w:val="center"/>
        </w:trPr>
        <w:tc>
          <w:tcPr>
            <w:tcW w:w="7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28</w:t>
            </w:r>
          </w:p>
        </w:tc>
        <w:tc>
          <w:tcPr>
            <w:tcW w:w="1135"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佳能</w:t>
            </w:r>
          </w:p>
        </w:tc>
        <w:tc>
          <w:tcPr>
            <w:tcW w:w="188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LBP7660cdn</w:t>
            </w:r>
          </w:p>
        </w:tc>
        <w:tc>
          <w:tcPr>
            <w:tcW w:w="15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佳能原装硒鼓LBP7660cdn</w:t>
            </w:r>
          </w:p>
        </w:tc>
        <w:tc>
          <w:tcPr>
            <w:tcW w:w="181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黑色硒鼓</w:t>
            </w:r>
          </w:p>
        </w:tc>
        <w:tc>
          <w:tcPr>
            <w:tcW w:w="125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796.67 </w:t>
            </w:r>
          </w:p>
        </w:tc>
      </w:tr>
      <w:tr>
        <w:tblPrEx>
          <w:tblLayout w:type="fixed"/>
          <w:tblCellMar>
            <w:top w:w="0" w:type="dxa"/>
            <w:left w:w="0" w:type="dxa"/>
            <w:bottom w:w="0" w:type="dxa"/>
            <w:right w:w="0" w:type="dxa"/>
          </w:tblCellMar>
        </w:tblPrEx>
        <w:trPr>
          <w:trHeight w:val="600" w:hRule="atLeast"/>
          <w:jc w:val="center"/>
        </w:trPr>
        <w:tc>
          <w:tcPr>
            <w:tcW w:w="7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29</w:t>
            </w:r>
          </w:p>
        </w:tc>
        <w:tc>
          <w:tcPr>
            <w:tcW w:w="1135"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szCs w:val="21"/>
              </w:rPr>
            </w:pPr>
          </w:p>
        </w:tc>
        <w:tc>
          <w:tcPr>
            <w:tcW w:w="188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LBP7660cdn</w:t>
            </w:r>
          </w:p>
        </w:tc>
        <w:tc>
          <w:tcPr>
            <w:tcW w:w="15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佳能原装硒鼓LBP7660cdn</w:t>
            </w:r>
          </w:p>
        </w:tc>
        <w:tc>
          <w:tcPr>
            <w:tcW w:w="181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彩色硒鼓</w:t>
            </w:r>
          </w:p>
        </w:tc>
        <w:tc>
          <w:tcPr>
            <w:tcW w:w="125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730.00 </w:t>
            </w:r>
          </w:p>
        </w:tc>
      </w:tr>
      <w:tr>
        <w:tblPrEx>
          <w:tblLayout w:type="fixed"/>
          <w:tblCellMar>
            <w:top w:w="0" w:type="dxa"/>
            <w:left w:w="0" w:type="dxa"/>
            <w:bottom w:w="0" w:type="dxa"/>
            <w:right w:w="0" w:type="dxa"/>
          </w:tblCellMar>
        </w:tblPrEx>
        <w:trPr>
          <w:trHeight w:val="600" w:hRule="atLeast"/>
          <w:jc w:val="center"/>
        </w:trPr>
        <w:tc>
          <w:tcPr>
            <w:tcW w:w="7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30</w:t>
            </w:r>
          </w:p>
        </w:tc>
        <w:tc>
          <w:tcPr>
            <w:tcW w:w="1135"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szCs w:val="21"/>
              </w:rPr>
            </w:pPr>
          </w:p>
        </w:tc>
        <w:tc>
          <w:tcPr>
            <w:tcW w:w="188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佳能MF752cdw</w:t>
            </w:r>
          </w:p>
        </w:tc>
        <w:tc>
          <w:tcPr>
            <w:tcW w:w="15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60" w:lineRule="auto"/>
              <w:jc w:val="center"/>
              <w:rPr>
                <w:rFonts w:ascii="宋体" w:hAnsi="宋体"/>
                <w:color w:val="000000"/>
              </w:rPr>
            </w:pPr>
          </w:p>
        </w:tc>
        <w:tc>
          <w:tcPr>
            <w:tcW w:w="181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黑色硒鼓</w:t>
            </w:r>
          </w:p>
        </w:tc>
        <w:tc>
          <w:tcPr>
            <w:tcW w:w="125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640.00 </w:t>
            </w:r>
          </w:p>
        </w:tc>
      </w:tr>
      <w:tr>
        <w:tblPrEx>
          <w:tblLayout w:type="fixed"/>
          <w:tblCellMar>
            <w:top w:w="0" w:type="dxa"/>
            <w:left w:w="0" w:type="dxa"/>
            <w:bottom w:w="0" w:type="dxa"/>
            <w:right w:w="0" w:type="dxa"/>
          </w:tblCellMar>
        </w:tblPrEx>
        <w:trPr>
          <w:trHeight w:val="600" w:hRule="atLeast"/>
          <w:jc w:val="center"/>
        </w:trPr>
        <w:tc>
          <w:tcPr>
            <w:tcW w:w="7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31</w:t>
            </w:r>
          </w:p>
        </w:tc>
        <w:tc>
          <w:tcPr>
            <w:tcW w:w="1135"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szCs w:val="21"/>
              </w:rPr>
            </w:pPr>
          </w:p>
        </w:tc>
        <w:tc>
          <w:tcPr>
            <w:tcW w:w="188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佳能MF752cdw</w:t>
            </w:r>
          </w:p>
        </w:tc>
        <w:tc>
          <w:tcPr>
            <w:tcW w:w="15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60" w:lineRule="auto"/>
              <w:jc w:val="center"/>
              <w:rPr>
                <w:rFonts w:ascii="宋体" w:hAnsi="宋体"/>
                <w:color w:val="000000"/>
              </w:rPr>
            </w:pPr>
          </w:p>
        </w:tc>
        <w:tc>
          <w:tcPr>
            <w:tcW w:w="181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彩色硒鼓</w:t>
            </w:r>
          </w:p>
        </w:tc>
        <w:tc>
          <w:tcPr>
            <w:tcW w:w="125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773.33 </w:t>
            </w:r>
          </w:p>
        </w:tc>
      </w:tr>
      <w:tr>
        <w:tblPrEx>
          <w:tblLayout w:type="fixed"/>
          <w:tblCellMar>
            <w:top w:w="0" w:type="dxa"/>
            <w:left w:w="0" w:type="dxa"/>
            <w:bottom w:w="0" w:type="dxa"/>
            <w:right w:w="0" w:type="dxa"/>
          </w:tblCellMar>
        </w:tblPrEx>
        <w:trPr>
          <w:trHeight w:val="600" w:hRule="atLeast"/>
          <w:jc w:val="center"/>
        </w:trPr>
        <w:tc>
          <w:tcPr>
            <w:tcW w:w="7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32</w:t>
            </w:r>
          </w:p>
        </w:tc>
        <w:tc>
          <w:tcPr>
            <w:tcW w:w="1135"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szCs w:val="21"/>
              </w:rPr>
            </w:pPr>
          </w:p>
        </w:tc>
        <w:tc>
          <w:tcPr>
            <w:tcW w:w="188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Canon MF246dn</w:t>
            </w:r>
          </w:p>
        </w:tc>
        <w:tc>
          <w:tcPr>
            <w:tcW w:w="15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60" w:lineRule="auto"/>
              <w:jc w:val="center"/>
              <w:rPr>
                <w:rFonts w:ascii="宋体" w:hAnsi="宋体"/>
                <w:color w:val="000000"/>
              </w:rPr>
            </w:pPr>
          </w:p>
        </w:tc>
        <w:tc>
          <w:tcPr>
            <w:tcW w:w="181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硒鼓</w:t>
            </w:r>
          </w:p>
        </w:tc>
        <w:tc>
          <w:tcPr>
            <w:tcW w:w="125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446.00 </w:t>
            </w:r>
          </w:p>
        </w:tc>
      </w:tr>
      <w:tr>
        <w:tblPrEx>
          <w:tblLayout w:type="fixed"/>
          <w:tblCellMar>
            <w:top w:w="0" w:type="dxa"/>
            <w:left w:w="0" w:type="dxa"/>
            <w:bottom w:w="0" w:type="dxa"/>
            <w:right w:w="0" w:type="dxa"/>
          </w:tblCellMar>
        </w:tblPrEx>
        <w:trPr>
          <w:trHeight w:val="600" w:hRule="atLeast"/>
          <w:jc w:val="center"/>
        </w:trPr>
        <w:tc>
          <w:tcPr>
            <w:tcW w:w="7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33</w:t>
            </w:r>
          </w:p>
        </w:tc>
        <w:tc>
          <w:tcPr>
            <w:tcW w:w="1135"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理光</w:t>
            </w:r>
          </w:p>
        </w:tc>
        <w:tc>
          <w:tcPr>
            <w:tcW w:w="188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理光DD5450C</w:t>
            </w:r>
          </w:p>
        </w:tc>
        <w:tc>
          <w:tcPr>
            <w:tcW w:w="15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理光数码印刷机 油墨（TYPE500黑色)</w:t>
            </w:r>
          </w:p>
        </w:tc>
        <w:tc>
          <w:tcPr>
            <w:tcW w:w="181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油墨</w:t>
            </w:r>
          </w:p>
        </w:tc>
        <w:tc>
          <w:tcPr>
            <w:tcW w:w="125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219.67 </w:t>
            </w:r>
          </w:p>
        </w:tc>
      </w:tr>
      <w:tr>
        <w:tblPrEx>
          <w:tblLayout w:type="fixed"/>
          <w:tblCellMar>
            <w:top w:w="0" w:type="dxa"/>
            <w:left w:w="0" w:type="dxa"/>
            <w:bottom w:w="0" w:type="dxa"/>
            <w:right w:w="0" w:type="dxa"/>
          </w:tblCellMar>
        </w:tblPrEx>
        <w:trPr>
          <w:trHeight w:val="600" w:hRule="atLeast"/>
          <w:jc w:val="center"/>
        </w:trPr>
        <w:tc>
          <w:tcPr>
            <w:tcW w:w="7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34</w:t>
            </w:r>
          </w:p>
        </w:tc>
        <w:tc>
          <w:tcPr>
            <w:tcW w:w="1135"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szCs w:val="21"/>
              </w:rPr>
            </w:pPr>
          </w:p>
        </w:tc>
        <w:tc>
          <w:tcPr>
            <w:tcW w:w="188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MP 2014C型</w:t>
            </w:r>
          </w:p>
        </w:tc>
        <w:tc>
          <w:tcPr>
            <w:tcW w:w="15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MP 2014C型</w:t>
            </w:r>
          </w:p>
        </w:tc>
        <w:tc>
          <w:tcPr>
            <w:tcW w:w="181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墨粉</w:t>
            </w:r>
          </w:p>
        </w:tc>
        <w:tc>
          <w:tcPr>
            <w:tcW w:w="125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200.67 </w:t>
            </w:r>
          </w:p>
        </w:tc>
      </w:tr>
      <w:tr>
        <w:tblPrEx>
          <w:tblLayout w:type="fixed"/>
          <w:tblCellMar>
            <w:top w:w="0" w:type="dxa"/>
            <w:left w:w="0" w:type="dxa"/>
            <w:bottom w:w="0" w:type="dxa"/>
            <w:right w:w="0" w:type="dxa"/>
          </w:tblCellMar>
        </w:tblPrEx>
        <w:trPr>
          <w:trHeight w:val="600" w:hRule="atLeast"/>
          <w:jc w:val="center"/>
        </w:trPr>
        <w:tc>
          <w:tcPr>
            <w:tcW w:w="7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35</w:t>
            </w:r>
          </w:p>
        </w:tc>
        <w:tc>
          <w:tcPr>
            <w:tcW w:w="1135"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szCs w:val="21"/>
              </w:rPr>
            </w:pPr>
          </w:p>
        </w:tc>
        <w:tc>
          <w:tcPr>
            <w:tcW w:w="188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IMC2000/2500</w:t>
            </w:r>
          </w:p>
        </w:tc>
        <w:tc>
          <w:tcPr>
            <w:tcW w:w="15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60" w:lineRule="auto"/>
              <w:jc w:val="center"/>
              <w:rPr>
                <w:rFonts w:ascii="宋体" w:hAnsi="宋体"/>
                <w:color w:val="000000"/>
              </w:rPr>
            </w:pPr>
          </w:p>
        </w:tc>
        <w:tc>
          <w:tcPr>
            <w:tcW w:w="181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黑色粉盒</w:t>
            </w:r>
          </w:p>
        </w:tc>
        <w:tc>
          <w:tcPr>
            <w:tcW w:w="125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513.00 </w:t>
            </w:r>
          </w:p>
        </w:tc>
      </w:tr>
      <w:tr>
        <w:tblPrEx>
          <w:tblLayout w:type="fixed"/>
          <w:tblCellMar>
            <w:top w:w="0" w:type="dxa"/>
            <w:left w:w="0" w:type="dxa"/>
            <w:bottom w:w="0" w:type="dxa"/>
            <w:right w:w="0" w:type="dxa"/>
          </w:tblCellMar>
        </w:tblPrEx>
        <w:trPr>
          <w:trHeight w:val="600" w:hRule="atLeast"/>
          <w:jc w:val="center"/>
        </w:trPr>
        <w:tc>
          <w:tcPr>
            <w:tcW w:w="7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36</w:t>
            </w:r>
          </w:p>
        </w:tc>
        <w:tc>
          <w:tcPr>
            <w:tcW w:w="1135"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szCs w:val="21"/>
              </w:rPr>
            </w:pPr>
          </w:p>
        </w:tc>
        <w:tc>
          <w:tcPr>
            <w:tcW w:w="188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IMC2000/2500</w:t>
            </w:r>
          </w:p>
        </w:tc>
        <w:tc>
          <w:tcPr>
            <w:tcW w:w="15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60" w:lineRule="auto"/>
              <w:jc w:val="center"/>
              <w:rPr>
                <w:rFonts w:ascii="宋体" w:hAnsi="宋体"/>
                <w:color w:val="000000"/>
              </w:rPr>
            </w:pPr>
          </w:p>
        </w:tc>
        <w:tc>
          <w:tcPr>
            <w:tcW w:w="181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彩色粉盒（经济装2500页）</w:t>
            </w:r>
          </w:p>
        </w:tc>
        <w:tc>
          <w:tcPr>
            <w:tcW w:w="125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423.00 </w:t>
            </w:r>
          </w:p>
        </w:tc>
      </w:tr>
      <w:tr>
        <w:tblPrEx>
          <w:tblLayout w:type="fixed"/>
          <w:tblCellMar>
            <w:top w:w="0" w:type="dxa"/>
            <w:left w:w="0" w:type="dxa"/>
            <w:bottom w:w="0" w:type="dxa"/>
            <w:right w:w="0" w:type="dxa"/>
          </w:tblCellMar>
        </w:tblPrEx>
        <w:trPr>
          <w:trHeight w:val="600" w:hRule="atLeast"/>
          <w:jc w:val="center"/>
        </w:trPr>
        <w:tc>
          <w:tcPr>
            <w:tcW w:w="7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37</w:t>
            </w:r>
          </w:p>
        </w:tc>
        <w:tc>
          <w:tcPr>
            <w:tcW w:w="1135"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szCs w:val="21"/>
              </w:rPr>
            </w:pPr>
          </w:p>
        </w:tc>
        <w:tc>
          <w:tcPr>
            <w:tcW w:w="188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IMC2000/2500</w:t>
            </w:r>
          </w:p>
        </w:tc>
        <w:tc>
          <w:tcPr>
            <w:tcW w:w="15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60" w:lineRule="auto"/>
              <w:jc w:val="center"/>
              <w:rPr>
                <w:rFonts w:ascii="宋体" w:hAnsi="宋体"/>
                <w:color w:val="000000"/>
              </w:rPr>
            </w:pPr>
          </w:p>
        </w:tc>
        <w:tc>
          <w:tcPr>
            <w:tcW w:w="181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彩色粉盒（高容量装10500页）</w:t>
            </w:r>
          </w:p>
        </w:tc>
        <w:tc>
          <w:tcPr>
            <w:tcW w:w="125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1104.00 </w:t>
            </w:r>
          </w:p>
        </w:tc>
      </w:tr>
      <w:tr>
        <w:tblPrEx>
          <w:tblLayout w:type="fixed"/>
          <w:tblCellMar>
            <w:top w:w="0" w:type="dxa"/>
            <w:left w:w="0" w:type="dxa"/>
            <w:bottom w:w="0" w:type="dxa"/>
            <w:right w:w="0" w:type="dxa"/>
          </w:tblCellMar>
        </w:tblPrEx>
        <w:trPr>
          <w:trHeight w:val="600" w:hRule="atLeast"/>
          <w:jc w:val="center"/>
        </w:trPr>
        <w:tc>
          <w:tcPr>
            <w:tcW w:w="7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38</w:t>
            </w:r>
          </w:p>
        </w:tc>
        <w:tc>
          <w:tcPr>
            <w:tcW w:w="1135"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szCs w:val="21"/>
              </w:rPr>
            </w:pPr>
          </w:p>
        </w:tc>
        <w:tc>
          <w:tcPr>
            <w:tcW w:w="188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IMC2000/2500</w:t>
            </w:r>
          </w:p>
        </w:tc>
        <w:tc>
          <w:tcPr>
            <w:tcW w:w="15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60" w:lineRule="auto"/>
              <w:jc w:val="center"/>
              <w:rPr>
                <w:rFonts w:ascii="宋体" w:hAnsi="宋体"/>
                <w:color w:val="000000"/>
              </w:rPr>
            </w:pPr>
          </w:p>
        </w:tc>
        <w:tc>
          <w:tcPr>
            <w:tcW w:w="181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黑色硒鼓</w:t>
            </w:r>
          </w:p>
        </w:tc>
        <w:tc>
          <w:tcPr>
            <w:tcW w:w="125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2426.00 </w:t>
            </w:r>
          </w:p>
        </w:tc>
      </w:tr>
      <w:tr>
        <w:tblPrEx>
          <w:tblLayout w:type="fixed"/>
          <w:tblCellMar>
            <w:top w:w="0" w:type="dxa"/>
            <w:left w:w="0" w:type="dxa"/>
            <w:bottom w:w="0" w:type="dxa"/>
            <w:right w:w="0" w:type="dxa"/>
          </w:tblCellMar>
        </w:tblPrEx>
        <w:trPr>
          <w:trHeight w:val="600" w:hRule="atLeast"/>
          <w:jc w:val="center"/>
        </w:trPr>
        <w:tc>
          <w:tcPr>
            <w:tcW w:w="7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39</w:t>
            </w:r>
          </w:p>
        </w:tc>
        <w:tc>
          <w:tcPr>
            <w:tcW w:w="1135"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szCs w:val="21"/>
              </w:rPr>
            </w:pPr>
          </w:p>
        </w:tc>
        <w:tc>
          <w:tcPr>
            <w:tcW w:w="188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IMC2000/2500</w:t>
            </w:r>
          </w:p>
        </w:tc>
        <w:tc>
          <w:tcPr>
            <w:tcW w:w="15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60" w:lineRule="auto"/>
              <w:jc w:val="center"/>
              <w:rPr>
                <w:rFonts w:ascii="宋体" w:hAnsi="宋体"/>
                <w:color w:val="000000"/>
              </w:rPr>
            </w:pPr>
          </w:p>
        </w:tc>
        <w:tc>
          <w:tcPr>
            <w:tcW w:w="181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彩色硒鼓</w:t>
            </w:r>
          </w:p>
        </w:tc>
        <w:tc>
          <w:tcPr>
            <w:tcW w:w="125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2693.33 </w:t>
            </w:r>
          </w:p>
        </w:tc>
      </w:tr>
      <w:tr>
        <w:tblPrEx>
          <w:tblLayout w:type="fixed"/>
          <w:tblCellMar>
            <w:top w:w="0" w:type="dxa"/>
            <w:left w:w="0" w:type="dxa"/>
            <w:bottom w:w="0" w:type="dxa"/>
            <w:right w:w="0" w:type="dxa"/>
          </w:tblCellMar>
        </w:tblPrEx>
        <w:trPr>
          <w:trHeight w:val="600" w:hRule="atLeast"/>
          <w:jc w:val="center"/>
        </w:trPr>
        <w:tc>
          <w:tcPr>
            <w:tcW w:w="7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40</w:t>
            </w:r>
          </w:p>
        </w:tc>
        <w:tc>
          <w:tcPr>
            <w:tcW w:w="1135"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联想</w:t>
            </w:r>
          </w:p>
        </w:tc>
        <w:tc>
          <w:tcPr>
            <w:tcW w:w="188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联想领像GM337DN粉盒</w:t>
            </w:r>
          </w:p>
        </w:tc>
        <w:tc>
          <w:tcPr>
            <w:tcW w:w="15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GM337DN粉盒</w:t>
            </w:r>
          </w:p>
        </w:tc>
        <w:tc>
          <w:tcPr>
            <w:tcW w:w="181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粉盒</w:t>
            </w:r>
          </w:p>
        </w:tc>
        <w:tc>
          <w:tcPr>
            <w:tcW w:w="125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322.33 </w:t>
            </w:r>
          </w:p>
        </w:tc>
      </w:tr>
      <w:tr>
        <w:tblPrEx>
          <w:tblLayout w:type="fixed"/>
          <w:tblCellMar>
            <w:top w:w="0" w:type="dxa"/>
            <w:left w:w="0" w:type="dxa"/>
            <w:bottom w:w="0" w:type="dxa"/>
            <w:right w:w="0" w:type="dxa"/>
          </w:tblCellMar>
        </w:tblPrEx>
        <w:trPr>
          <w:trHeight w:val="600" w:hRule="atLeast"/>
          <w:jc w:val="center"/>
        </w:trPr>
        <w:tc>
          <w:tcPr>
            <w:tcW w:w="7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41</w:t>
            </w:r>
          </w:p>
        </w:tc>
        <w:tc>
          <w:tcPr>
            <w:tcW w:w="1135"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szCs w:val="21"/>
              </w:rPr>
            </w:pPr>
          </w:p>
        </w:tc>
        <w:tc>
          <w:tcPr>
            <w:tcW w:w="188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联想领像GM337DN鼓架</w:t>
            </w:r>
          </w:p>
        </w:tc>
        <w:tc>
          <w:tcPr>
            <w:tcW w:w="15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GM337DN鼓架</w:t>
            </w:r>
          </w:p>
        </w:tc>
        <w:tc>
          <w:tcPr>
            <w:tcW w:w="181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鼓架</w:t>
            </w:r>
          </w:p>
        </w:tc>
        <w:tc>
          <w:tcPr>
            <w:tcW w:w="125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356.00 </w:t>
            </w:r>
          </w:p>
        </w:tc>
      </w:tr>
      <w:tr>
        <w:tblPrEx>
          <w:tblLayout w:type="fixed"/>
          <w:tblCellMar>
            <w:top w:w="0" w:type="dxa"/>
            <w:left w:w="0" w:type="dxa"/>
            <w:bottom w:w="0" w:type="dxa"/>
            <w:right w:w="0" w:type="dxa"/>
          </w:tblCellMar>
        </w:tblPrEx>
        <w:trPr>
          <w:trHeight w:val="600" w:hRule="atLeast"/>
          <w:jc w:val="center"/>
        </w:trPr>
        <w:tc>
          <w:tcPr>
            <w:tcW w:w="7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42</w:t>
            </w:r>
          </w:p>
        </w:tc>
        <w:tc>
          <w:tcPr>
            <w:tcW w:w="1135"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夏普</w:t>
            </w:r>
          </w:p>
        </w:tc>
        <w:tc>
          <w:tcPr>
            <w:tcW w:w="188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SHARP DX-2508NC</w:t>
            </w:r>
          </w:p>
        </w:tc>
        <w:tc>
          <w:tcPr>
            <w:tcW w:w="15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DX-25CT</w:t>
            </w:r>
          </w:p>
        </w:tc>
        <w:tc>
          <w:tcPr>
            <w:tcW w:w="181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黑色墨盒（高容量约18000页）</w:t>
            </w:r>
          </w:p>
        </w:tc>
        <w:tc>
          <w:tcPr>
            <w:tcW w:w="125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593.33 </w:t>
            </w:r>
          </w:p>
        </w:tc>
      </w:tr>
      <w:tr>
        <w:tblPrEx>
          <w:tblLayout w:type="fixed"/>
          <w:tblCellMar>
            <w:top w:w="0" w:type="dxa"/>
            <w:left w:w="0" w:type="dxa"/>
            <w:bottom w:w="0" w:type="dxa"/>
            <w:right w:w="0" w:type="dxa"/>
          </w:tblCellMar>
        </w:tblPrEx>
        <w:trPr>
          <w:trHeight w:val="600" w:hRule="atLeast"/>
          <w:jc w:val="center"/>
        </w:trPr>
        <w:tc>
          <w:tcPr>
            <w:tcW w:w="7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43</w:t>
            </w:r>
          </w:p>
        </w:tc>
        <w:tc>
          <w:tcPr>
            <w:tcW w:w="1135"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szCs w:val="21"/>
              </w:rPr>
            </w:pPr>
          </w:p>
        </w:tc>
        <w:tc>
          <w:tcPr>
            <w:tcW w:w="188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SHARP DX-2508NC</w:t>
            </w:r>
          </w:p>
        </w:tc>
        <w:tc>
          <w:tcPr>
            <w:tcW w:w="15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DX-25CT</w:t>
            </w:r>
          </w:p>
        </w:tc>
        <w:tc>
          <w:tcPr>
            <w:tcW w:w="181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彩色墨盒（高容量约10000页）</w:t>
            </w:r>
          </w:p>
        </w:tc>
        <w:tc>
          <w:tcPr>
            <w:tcW w:w="125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663.33 </w:t>
            </w:r>
          </w:p>
        </w:tc>
      </w:tr>
      <w:tr>
        <w:tblPrEx>
          <w:tblLayout w:type="fixed"/>
          <w:tblCellMar>
            <w:top w:w="0" w:type="dxa"/>
            <w:left w:w="0" w:type="dxa"/>
            <w:bottom w:w="0" w:type="dxa"/>
            <w:right w:w="0" w:type="dxa"/>
          </w:tblCellMar>
        </w:tblPrEx>
        <w:trPr>
          <w:trHeight w:val="600" w:hRule="atLeast"/>
          <w:jc w:val="center"/>
        </w:trPr>
        <w:tc>
          <w:tcPr>
            <w:tcW w:w="7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44</w:t>
            </w:r>
          </w:p>
        </w:tc>
        <w:tc>
          <w:tcPr>
            <w:tcW w:w="1135"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szCs w:val="21"/>
              </w:rPr>
            </w:pPr>
          </w:p>
        </w:tc>
        <w:tc>
          <w:tcPr>
            <w:tcW w:w="188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MX-M2608N</w:t>
            </w:r>
          </w:p>
        </w:tc>
        <w:tc>
          <w:tcPr>
            <w:tcW w:w="15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MX-312CT</w:t>
            </w:r>
          </w:p>
        </w:tc>
        <w:tc>
          <w:tcPr>
            <w:tcW w:w="181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碳粉</w:t>
            </w:r>
          </w:p>
        </w:tc>
        <w:tc>
          <w:tcPr>
            <w:tcW w:w="125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385.33 </w:t>
            </w:r>
          </w:p>
        </w:tc>
      </w:tr>
      <w:tr>
        <w:tblPrEx>
          <w:tblLayout w:type="fixed"/>
          <w:tblCellMar>
            <w:top w:w="0" w:type="dxa"/>
            <w:left w:w="0" w:type="dxa"/>
            <w:bottom w:w="0" w:type="dxa"/>
            <w:right w:w="0" w:type="dxa"/>
          </w:tblCellMar>
        </w:tblPrEx>
        <w:trPr>
          <w:trHeight w:val="600" w:hRule="atLeast"/>
          <w:jc w:val="center"/>
        </w:trPr>
        <w:tc>
          <w:tcPr>
            <w:tcW w:w="7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45</w:t>
            </w:r>
          </w:p>
        </w:tc>
        <w:tc>
          <w:tcPr>
            <w:tcW w:w="1135"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szCs w:val="21"/>
              </w:rPr>
            </w:pPr>
          </w:p>
        </w:tc>
        <w:tc>
          <w:tcPr>
            <w:tcW w:w="188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MX-M2608N</w:t>
            </w:r>
          </w:p>
        </w:tc>
        <w:tc>
          <w:tcPr>
            <w:tcW w:w="15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MX-312CR光鼓</w:t>
            </w:r>
          </w:p>
        </w:tc>
        <w:tc>
          <w:tcPr>
            <w:tcW w:w="181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硒鼓</w:t>
            </w:r>
          </w:p>
        </w:tc>
        <w:tc>
          <w:tcPr>
            <w:tcW w:w="125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419.00 </w:t>
            </w:r>
          </w:p>
        </w:tc>
      </w:tr>
      <w:tr>
        <w:tblPrEx>
          <w:tblLayout w:type="fixed"/>
          <w:tblCellMar>
            <w:top w:w="0" w:type="dxa"/>
            <w:left w:w="0" w:type="dxa"/>
            <w:bottom w:w="0" w:type="dxa"/>
            <w:right w:w="0" w:type="dxa"/>
          </w:tblCellMar>
        </w:tblPrEx>
        <w:trPr>
          <w:trHeight w:val="600" w:hRule="atLeast"/>
          <w:jc w:val="center"/>
        </w:trPr>
        <w:tc>
          <w:tcPr>
            <w:tcW w:w="7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46</w:t>
            </w:r>
          </w:p>
        </w:tc>
        <w:tc>
          <w:tcPr>
            <w:tcW w:w="1135"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szCs w:val="21"/>
              </w:rPr>
            </w:pPr>
          </w:p>
        </w:tc>
        <w:tc>
          <w:tcPr>
            <w:tcW w:w="188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夏普MX-M2658N</w:t>
            </w:r>
          </w:p>
        </w:tc>
        <w:tc>
          <w:tcPr>
            <w:tcW w:w="15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MX-315CT</w:t>
            </w:r>
          </w:p>
        </w:tc>
        <w:tc>
          <w:tcPr>
            <w:tcW w:w="181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硒鼓</w:t>
            </w:r>
          </w:p>
        </w:tc>
        <w:tc>
          <w:tcPr>
            <w:tcW w:w="125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360" w:lineRule="auto"/>
              <w:jc w:val="center"/>
              <w:textAlignment w:val="center"/>
              <w:rPr>
                <w:rFonts w:ascii="宋体" w:hAnsi="宋体"/>
                <w:color w:val="000000"/>
              </w:rPr>
            </w:pPr>
            <w:r>
              <w:rPr>
                <w:rFonts w:hint="eastAsia" w:ascii="宋体" w:hAnsi="宋体"/>
                <w:color w:val="000000"/>
                <w:kern w:val="0"/>
              </w:rPr>
              <w:t xml:space="preserve">384.33 </w:t>
            </w:r>
          </w:p>
        </w:tc>
      </w:tr>
    </w:tbl>
    <w:p>
      <w:pPr>
        <w:spacing w:line="360" w:lineRule="auto"/>
        <w:rPr>
          <w:rFonts w:ascii="宋体" w:hAnsi="宋体"/>
          <w:color w:val="000000"/>
          <w:szCs w:val="21"/>
        </w:rPr>
      </w:pPr>
      <w:r>
        <w:rPr>
          <w:rFonts w:hint="eastAsia" w:ascii="宋体" w:hAnsi="宋体"/>
          <w:color w:val="000000"/>
        </w:rPr>
        <w:t xml:space="preserve"> </w:t>
      </w:r>
    </w:p>
    <w:p>
      <w:pPr>
        <w:pStyle w:val="11"/>
        <w:tabs>
          <w:tab w:val="left" w:pos="540"/>
        </w:tabs>
        <w:adjustRightInd w:val="0"/>
        <w:snapToGrid w:val="0"/>
        <w:spacing w:line="360" w:lineRule="auto"/>
        <w:ind w:left="420"/>
        <w:rPr>
          <w:rFonts w:hAnsi="宋体" w:cs="宋体"/>
          <w:b/>
          <w:bCs/>
          <w:szCs w:val="20"/>
        </w:rPr>
      </w:pPr>
    </w:p>
    <w:p>
      <w:pPr>
        <w:pStyle w:val="17"/>
        <w:spacing w:before="0" w:after="0" w:line="360" w:lineRule="auto"/>
        <w:rPr>
          <w:rFonts w:ascii="宋体" w:hAnsi="宋体"/>
          <w:color w:val="000000"/>
          <w:szCs w:val="21"/>
        </w:rPr>
      </w:pPr>
      <w:r>
        <w:rPr>
          <w:rFonts w:ascii="宋体" w:hAnsi="宋体"/>
          <w:color w:val="000000"/>
          <w:sz w:val="21"/>
          <w:szCs w:val="21"/>
        </w:rPr>
        <w:br w:type="page"/>
      </w:r>
      <w:r>
        <w:rPr>
          <w:rFonts w:hint="eastAsia" w:ascii="宋体" w:hAnsi="宋体"/>
          <w:color w:val="000000"/>
        </w:rPr>
        <w:t>第三章 报价附件</w:t>
      </w:r>
    </w:p>
    <w:p>
      <w:pPr>
        <w:pStyle w:val="4"/>
        <w:spacing w:line="360" w:lineRule="auto"/>
        <w:jc w:val="center"/>
        <w:rPr>
          <w:rFonts w:ascii="宋体" w:hAnsi="宋体"/>
          <w:color w:val="000000"/>
          <w:lang w:val="zh-CN"/>
        </w:rPr>
      </w:pPr>
      <w:r>
        <w:rPr>
          <w:rFonts w:hint="eastAsia" w:ascii="宋体" w:hAnsi="宋体"/>
          <w:color w:val="000000"/>
          <w:lang w:val="zh-CN"/>
        </w:rPr>
        <w:t>报 价 表</w:t>
      </w:r>
    </w:p>
    <w:p>
      <w:pPr>
        <w:spacing w:line="360" w:lineRule="auto"/>
        <w:rPr>
          <w:rFonts w:ascii="宋体" w:hAnsi="宋体"/>
          <w:color w:val="000000"/>
        </w:rPr>
      </w:pPr>
      <w:r>
        <w:rPr>
          <w:rFonts w:hint="eastAsia" w:ascii="宋体" w:hAnsi="宋体"/>
          <w:b/>
          <w:color w:val="000000"/>
        </w:rPr>
        <w:t>项目名称：</w:t>
      </w:r>
      <w:r>
        <w:rPr>
          <w:rFonts w:hint="eastAsia" w:ascii="宋体" w:hAnsi="宋体"/>
          <w:color w:val="000000"/>
        </w:rPr>
        <w:t>广东省阳春监狱2024年度办公耗材采购项目</w:t>
      </w:r>
    </w:p>
    <w:tbl>
      <w:tblPr>
        <w:tblStyle w:val="23"/>
        <w:tblW w:w="852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6"/>
        <w:gridCol w:w="808"/>
        <w:gridCol w:w="808"/>
        <w:gridCol w:w="2289"/>
        <w:gridCol w:w="10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jc w:val="center"/>
        </w:trPr>
        <w:tc>
          <w:tcPr>
            <w:tcW w:w="721" w:type="dxa"/>
            <w:vAlign w:val="center"/>
          </w:tcPr>
          <w:p>
            <w:pPr>
              <w:spacing w:line="360" w:lineRule="auto"/>
              <w:jc w:val="center"/>
              <w:rPr>
                <w:rFonts w:ascii="宋体" w:hAnsi="宋体"/>
                <w:b/>
                <w:color w:val="000000"/>
                <w:szCs w:val="21"/>
              </w:rPr>
            </w:pPr>
            <w:r>
              <w:rPr>
                <w:rFonts w:hint="eastAsia" w:ascii="宋体" w:hAnsi="宋体"/>
                <w:b/>
                <w:color w:val="000000"/>
                <w:szCs w:val="21"/>
              </w:rPr>
              <w:t>序号</w:t>
            </w:r>
          </w:p>
        </w:tc>
        <w:tc>
          <w:tcPr>
            <w:tcW w:w="2826" w:type="dxa"/>
            <w:vAlign w:val="center"/>
          </w:tcPr>
          <w:p>
            <w:pPr>
              <w:spacing w:line="360" w:lineRule="auto"/>
              <w:jc w:val="center"/>
              <w:rPr>
                <w:rFonts w:ascii="宋体" w:hAnsi="宋体"/>
                <w:b/>
                <w:color w:val="000000"/>
                <w:szCs w:val="21"/>
              </w:rPr>
            </w:pPr>
            <w:r>
              <w:rPr>
                <w:rFonts w:hint="eastAsia" w:ascii="宋体" w:hAnsi="宋体"/>
                <w:b/>
                <w:color w:val="000000"/>
                <w:szCs w:val="21"/>
              </w:rPr>
              <w:t>项目名称</w:t>
            </w:r>
          </w:p>
        </w:tc>
        <w:tc>
          <w:tcPr>
            <w:tcW w:w="808" w:type="dxa"/>
            <w:vAlign w:val="center"/>
          </w:tcPr>
          <w:p>
            <w:pPr>
              <w:spacing w:line="360" w:lineRule="auto"/>
              <w:jc w:val="center"/>
              <w:rPr>
                <w:rFonts w:ascii="宋体" w:hAnsi="宋体"/>
                <w:b/>
                <w:color w:val="000000"/>
                <w:szCs w:val="21"/>
              </w:rPr>
            </w:pPr>
            <w:r>
              <w:rPr>
                <w:rFonts w:hint="eastAsia" w:ascii="宋体" w:hAnsi="宋体"/>
                <w:b/>
                <w:color w:val="000000"/>
                <w:szCs w:val="21"/>
              </w:rPr>
              <w:t>数量</w:t>
            </w:r>
          </w:p>
        </w:tc>
        <w:tc>
          <w:tcPr>
            <w:tcW w:w="808" w:type="dxa"/>
            <w:vAlign w:val="center"/>
          </w:tcPr>
          <w:p>
            <w:pPr>
              <w:spacing w:line="360" w:lineRule="auto"/>
              <w:jc w:val="center"/>
              <w:rPr>
                <w:rFonts w:ascii="宋体" w:hAnsi="宋体"/>
                <w:b/>
                <w:color w:val="000000"/>
                <w:szCs w:val="21"/>
              </w:rPr>
            </w:pPr>
            <w:r>
              <w:rPr>
                <w:rFonts w:hint="eastAsia" w:ascii="宋体" w:hAnsi="宋体"/>
                <w:b/>
                <w:color w:val="000000"/>
                <w:szCs w:val="21"/>
              </w:rPr>
              <w:t>单位</w:t>
            </w:r>
          </w:p>
        </w:tc>
        <w:tc>
          <w:tcPr>
            <w:tcW w:w="2289" w:type="dxa"/>
            <w:vAlign w:val="center"/>
          </w:tcPr>
          <w:p>
            <w:pPr>
              <w:spacing w:line="360" w:lineRule="auto"/>
              <w:jc w:val="center"/>
              <w:rPr>
                <w:rFonts w:ascii="宋体" w:hAnsi="宋体"/>
                <w:b/>
                <w:color w:val="000000"/>
                <w:szCs w:val="21"/>
              </w:rPr>
            </w:pPr>
            <w:r>
              <w:rPr>
                <w:rFonts w:hint="eastAsia" w:ascii="宋体" w:hAnsi="宋体"/>
                <w:b/>
                <w:bCs/>
                <w:color w:val="000000"/>
              </w:rPr>
              <w:t>下浮率（%）</w:t>
            </w:r>
          </w:p>
        </w:tc>
        <w:tc>
          <w:tcPr>
            <w:tcW w:w="1070" w:type="dxa"/>
            <w:vAlign w:val="center"/>
          </w:tcPr>
          <w:p>
            <w:pPr>
              <w:spacing w:line="360" w:lineRule="auto"/>
              <w:jc w:val="center"/>
              <w:rPr>
                <w:rFonts w:ascii="宋体" w:hAnsi="宋体"/>
                <w:b/>
                <w:color w:val="000000"/>
                <w:szCs w:val="21"/>
              </w:rPr>
            </w:pPr>
            <w:r>
              <w:rPr>
                <w:rFonts w:hint="eastAsia" w:ascii="宋体" w:hAnsi="宋体"/>
                <w:b/>
                <w:color w:val="000000"/>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548" w:hRule="atLeast"/>
          <w:jc w:val="center"/>
        </w:trPr>
        <w:tc>
          <w:tcPr>
            <w:tcW w:w="721" w:type="dxa"/>
            <w:vAlign w:val="center"/>
          </w:tcPr>
          <w:p>
            <w:pPr>
              <w:spacing w:line="360" w:lineRule="auto"/>
              <w:jc w:val="center"/>
              <w:rPr>
                <w:rFonts w:ascii="宋体" w:hAnsi="宋体"/>
                <w:bCs/>
                <w:color w:val="000000"/>
                <w:szCs w:val="21"/>
              </w:rPr>
            </w:pPr>
            <w:r>
              <w:rPr>
                <w:rFonts w:hint="eastAsia" w:ascii="宋体" w:hAnsi="宋体"/>
                <w:bCs/>
                <w:color w:val="000000"/>
                <w:szCs w:val="21"/>
              </w:rPr>
              <w:t>1</w:t>
            </w:r>
          </w:p>
        </w:tc>
        <w:tc>
          <w:tcPr>
            <w:tcW w:w="2826" w:type="dxa"/>
            <w:vAlign w:val="center"/>
          </w:tcPr>
          <w:p>
            <w:pPr>
              <w:spacing w:line="360" w:lineRule="auto"/>
              <w:jc w:val="center"/>
              <w:rPr>
                <w:rFonts w:ascii="宋体" w:hAnsi="宋体"/>
                <w:bCs/>
                <w:color w:val="000000"/>
                <w:szCs w:val="21"/>
              </w:rPr>
            </w:pPr>
            <w:r>
              <w:rPr>
                <w:rFonts w:hint="eastAsia" w:ascii="宋体" w:hAnsi="宋体"/>
                <w:color w:val="000000"/>
              </w:rPr>
              <w:t>广东省阳春监狱2024年度办公耗材采购项目</w:t>
            </w:r>
          </w:p>
        </w:tc>
        <w:tc>
          <w:tcPr>
            <w:tcW w:w="808" w:type="dxa"/>
            <w:vAlign w:val="center"/>
          </w:tcPr>
          <w:p>
            <w:pPr>
              <w:spacing w:line="360" w:lineRule="auto"/>
              <w:jc w:val="center"/>
              <w:rPr>
                <w:rFonts w:ascii="宋体" w:hAnsi="宋体"/>
                <w:bCs/>
                <w:color w:val="000000"/>
                <w:szCs w:val="21"/>
              </w:rPr>
            </w:pPr>
            <w:r>
              <w:rPr>
                <w:rFonts w:ascii="宋体" w:hAnsi="宋体" w:cs="宋体"/>
                <w:color w:val="000000"/>
                <w:kern w:val="0"/>
                <w:szCs w:val="21"/>
              </w:rPr>
              <w:t>1</w:t>
            </w:r>
            <w:r>
              <w:rPr>
                <w:rFonts w:ascii="宋体" w:hAnsi="宋体"/>
                <w:bCs/>
                <w:color w:val="000000"/>
                <w:szCs w:val="21"/>
              </w:rPr>
              <w:t xml:space="preserve"> </w:t>
            </w:r>
          </w:p>
        </w:tc>
        <w:tc>
          <w:tcPr>
            <w:tcW w:w="808" w:type="dxa"/>
            <w:vAlign w:val="center"/>
          </w:tcPr>
          <w:p>
            <w:pPr>
              <w:pStyle w:val="27"/>
              <w:spacing w:before="0" w:after="0" w:line="360" w:lineRule="auto"/>
              <w:ind w:firstLine="119"/>
              <w:rPr>
                <w:rFonts w:ascii="宋体" w:hAnsi="宋体"/>
                <w:color w:val="000000"/>
                <w:spacing w:val="0"/>
                <w:kern w:val="2"/>
                <w:sz w:val="21"/>
                <w:szCs w:val="21"/>
              </w:rPr>
            </w:pPr>
            <w:r>
              <w:rPr>
                <w:rFonts w:hint="eastAsia" w:ascii="宋体" w:hAnsi="宋体" w:cs="宋体"/>
                <w:color w:val="000000"/>
                <w:sz w:val="21"/>
                <w:szCs w:val="21"/>
              </w:rPr>
              <w:t>批</w:t>
            </w:r>
          </w:p>
        </w:tc>
        <w:tc>
          <w:tcPr>
            <w:tcW w:w="2289" w:type="dxa"/>
            <w:vAlign w:val="center"/>
          </w:tcPr>
          <w:p>
            <w:pPr>
              <w:pStyle w:val="27"/>
              <w:spacing w:before="0" w:after="0" w:line="360" w:lineRule="auto"/>
              <w:ind w:firstLine="120"/>
              <w:rPr>
                <w:rFonts w:ascii="宋体" w:hAnsi="宋体"/>
                <w:color w:val="000000"/>
                <w:spacing w:val="0"/>
                <w:kern w:val="2"/>
                <w:sz w:val="21"/>
                <w:szCs w:val="21"/>
              </w:rPr>
            </w:pPr>
            <w:r>
              <w:rPr>
                <w:rFonts w:hint="eastAsia" w:ascii="宋体" w:hAnsi="宋体"/>
                <w:color w:val="000000"/>
                <w:u w:val="single"/>
              </w:rPr>
              <w:t xml:space="preserve">    %</w:t>
            </w:r>
          </w:p>
        </w:tc>
        <w:tc>
          <w:tcPr>
            <w:tcW w:w="1070" w:type="dxa"/>
            <w:vAlign w:val="center"/>
          </w:tcPr>
          <w:p>
            <w:pPr>
              <w:pStyle w:val="27"/>
              <w:spacing w:before="0" w:after="0" w:line="360" w:lineRule="auto"/>
              <w:ind w:firstLine="120"/>
              <w:rPr>
                <w:rFonts w:ascii="宋体" w:hAnsi="宋体"/>
                <w:color w:val="000000"/>
                <w:spacing w:val="0"/>
                <w:kern w:val="2"/>
                <w:sz w:val="21"/>
                <w:szCs w:val="21"/>
              </w:rPr>
            </w:pPr>
          </w:p>
        </w:tc>
      </w:tr>
    </w:tbl>
    <w:p>
      <w:pPr>
        <w:spacing w:line="360" w:lineRule="auto"/>
        <w:rPr>
          <w:rFonts w:ascii="宋体" w:hAnsi="宋体"/>
          <w:b/>
          <w:color w:val="000000"/>
          <w:spacing w:val="4"/>
          <w:szCs w:val="21"/>
        </w:rPr>
      </w:pPr>
      <w:r>
        <w:rPr>
          <w:rFonts w:hint="eastAsia" w:ascii="宋体" w:hAnsi="宋体"/>
          <w:b/>
          <w:color w:val="000000"/>
          <w:spacing w:val="4"/>
          <w:szCs w:val="21"/>
        </w:rPr>
        <w:t>注：</w:t>
      </w:r>
    </w:p>
    <w:p>
      <w:pPr>
        <w:pStyle w:val="25"/>
        <w:numPr>
          <w:ilvl w:val="0"/>
          <w:numId w:val="19"/>
        </w:numPr>
        <w:spacing w:line="360" w:lineRule="auto"/>
        <w:ind w:firstLineChars="0"/>
        <w:rPr>
          <w:rFonts w:ascii="宋体" w:hAnsi="宋体" w:cs="宋体"/>
          <w:b/>
          <w:bCs/>
          <w:color w:val="000000"/>
          <w:kern w:val="0"/>
          <w:szCs w:val="21"/>
          <w:u w:val="single"/>
        </w:rPr>
      </w:pPr>
      <w:r>
        <w:rPr>
          <w:rFonts w:hint="eastAsia" w:ascii="宋体" w:hAnsi="宋体" w:cs="宋体"/>
          <w:b/>
          <w:bCs/>
          <w:color w:val="000000"/>
          <w:kern w:val="0"/>
          <w:szCs w:val="21"/>
          <w:u w:val="single"/>
        </w:rPr>
        <w:t>本项目以下浮率形式进行报价，如项目存在最高限价或单价最高限价，</w:t>
      </w:r>
      <w:r>
        <w:rPr>
          <w:rFonts w:hint="eastAsia" w:ascii="宋体" w:hAnsi="宋体" w:cs="宋体"/>
          <w:b/>
          <w:bCs/>
          <w:kern w:val="0"/>
          <w:szCs w:val="21"/>
          <w:u w:val="single"/>
        </w:rPr>
        <w:t>成交总金额（单价）=最高限价（单价最高限价）×（1-下浮率）。报价时间截止后，系</w:t>
      </w:r>
      <w:r>
        <w:rPr>
          <w:rFonts w:hint="eastAsia" w:ascii="宋体" w:hAnsi="宋体" w:cs="宋体"/>
          <w:b/>
          <w:bCs/>
          <w:color w:val="000000"/>
          <w:kern w:val="0"/>
          <w:szCs w:val="21"/>
          <w:u w:val="single"/>
        </w:rPr>
        <w:t>统按下浮率由高到低顺序排列，下浮率最高的为第一成交候选人，报下浮率相同的，按报价时间在前的为第一成交候选人；报下浮率次高的为第二成交候选人，以此类推。（示例：如A项目采购一批格之格硒鼓 NT-C0388A，以实际供应量进行结算，该项目以下浮率形式报价，格之格硒鼓 NT-C0388A预算单价为82元/支，某供应商报下浮率为10%，则成交单价=82元/支*（1-10%）=73.8元/支）；；</w:t>
      </w:r>
    </w:p>
    <w:p>
      <w:pPr>
        <w:pStyle w:val="16"/>
        <w:numPr>
          <w:ilvl w:val="0"/>
          <w:numId w:val="19"/>
        </w:numPr>
        <w:shd w:val="clear" w:color="auto" w:fill="FFFFFF"/>
        <w:spacing w:before="0" w:beforeAutospacing="0" w:after="0" w:afterAutospacing="0" w:line="360" w:lineRule="auto"/>
        <w:rPr>
          <w:b/>
          <w:bCs/>
          <w:color w:val="000000"/>
          <w:sz w:val="21"/>
          <w:szCs w:val="21"/>
          <w:u w:val="single"/>
        </w:rPr>
      </w:pPr>
      <w:r>
        <w:rPr>
          <w:rFonts w:hint="eastAsia"/>
          <w:b/>
          <w:bCs/>
          <w:color w:val="000000"/>
          <w:sz w:val="21"/>
          <w:szCs w:val="21"/>
          <w:u w:val="single"/>
        </w:rPr>
        <w:t>供应商必须按报价表的格式填写，不得增加或删除表格内容。除单价、金额或项目要求填写的内容外，不得擅自改动报价表内容，</w:t>
      </w:r>
      <w:r>
        <w:rPr>
          <w:rFonts w:hint="eastAsia"/>
          <w:b/>
          <w:bCs/>
          <w:color w:val="000000"/>
          <w:sz w:val="21"/>
          <w:szCs w:val="21"/>
        </w:rPr>
        <w:t>否则将有可能影响成交结果，不推荐为成交候选人</w:t>
      </w:r>
      <w:r>
        <w:rPr>
          <w:rFonts w:hint="eastAsia"/>
          <w:b/>
          <w:bCs/>
          <w:color w:val="000000"/>
          <w:sz w:val="21"/>
          <w:szCs w:val="21"/>
          <w:u w:val="single"/>
        </w:rPr>
        <w:t>；</w:t>
      </w:r>
    </w:p>
    <w:p>
      <w:pPr>
        <w:widowControl/>
        <w:numPr>
          <w:ilvl w:val="0"/>
          <w:numId w:val="19"/>
        </w:numPr>
        <w:spacing w:line="360" w:lineRule="auto"/>
        <w:jc w:val="left"/>
        <w:rPr>
          <w:rFonts w:ascii="宋体" w:hAnsi="宋体"/>
          <w:b/>
          <w:bCs/>
          <w:color w:val="000000"/>
          <w:kern w:val="0"/>
          <w:szCs w:val="21"/>
        </w:rPr>
      </w:pPr>
      <w:r>
        <w:rPr>
          <w:rFonts w:hint="eastAsia" w:ascii="宋体" w:hAnsi="宋体" w:cs="宋体"/>
          <w:b/>
          <w:bCs/>
          <w:color w:val="000000"/>
          <w:kern w:val="0"/>
          <w:szCs w:val="21"/>
        </w:rPr>
        <w:t>所有价格均系用人民币表示，单位为元，均为含税价；</w:t>
      </w:r>
    </w:p>
    <w:p>
      <w:pPr>
        <w:pStyle w:val="16"/>
        <w:numPr>
          <w:ilvl w:val="0"/>
          <w:numId w:val="19"/>
        </w:numPr>
        <w:shd w:val="clear" w:color="auto" w:fill="FFFFFF"/>
        <w:spacing w:before="0" w:beforeAutospacing="0" w:after="0" w:afterAutospacing="0" w:line="360" w:lineRule="auto"/>
        <w:rPr>
          <w:b/>
          <w:color w:val="000000"/>
          <w:sz w:val="21"/>
          <w:szCs w:val="21"/>
        </w:rPr>
      </w:pPr>
      <w:r>
        <w:rPr>
          <w:rFonts w:hint="eastAsia"/>
          <w:b/>
          <w:color w:val="000000"/>
          <w:sz w:val="21"/>
          <w:szCs w:val="21"/>
        </w:rPr>
        <w:t>平台上与报价上表合计不一致的，以报价表合计（经价格核准后的价格）为准。</w:t>
      </w:r>
    </w:p>
    <w:p>
      <w:pPr>
        <w:spacing w:line="360" w:lineRule="auto"/>
        <w:rPr>
          <w:rFonts w:ascii="宋体" w:hAnsi="宋体"/>
          <w:color w:val="000000"/>
          <w:szCs w:val="21"/>
          <w:u w:val="single"/>
        </w:rPr>
      </w:pPr>
      <w:r>
        <w:rPr>
          <w:rFonts w:hint="eastAsia" w:ascii="宋体" w:hAnsi="宋体"/>
          <w:color w:val="000000"/>
          <w:spacing w:val="4"/>
          <w:szCs w:val="21"/>
        </w:rPr>
        <w:t>供应商名称（</w:t>
      </w:r>
      <w:r>
        <w:rPr>
          <w:rFonts w:hint="eastAsia" w:ascii="宋体" w:hAnsi="宋体"/>
          <w:color w:val="000000"/>
          <w:szCs w:val="21"/>
        </w:rPr>
        <w:t>单位盖</w:t>
      </w:r>
      <w:r>
        <w:rPr>
          <w:rFonts w:hint="eastAsia" w:ascii="宋体" w:hAnsi="宋体"/>
          <w:color w:val="000000"/>
          <w:spacing w:val="4"/>
          <w:szCs w:val="21"/>
        </w:rPr>
        <w:t>公章）：</w:t>
      </w:r>
      <w:r>
        <w:rPr>
          <w:rFonts w:ascii="宋体" w:hAnsi="宋体"/>
          <w:color w:val="000000"/>
          <w:spacing w:val="4"/>
          <w:szCs w:val="21"/>
          <w:u w:val="single"/>
        </w:rPr>
        <w:t xml:space="preserve">                     </w:t>
      </w:r>
    </w:p>
    <w:p>
      <w:pPr>
        <w:spacing w:line="500" w:lineRule="exact"/>
        <w:rPr>
          <w:rFonts w:ascii="宋体" w:hAnsi="宋体"/>
          <w:color w:val="000000"/>
          <w:spacing w:val="4"/>
          <w:szCs w:val="21"/>
          <w:u w:val="single"/>
        </w:rPr>
      </w:pPr>
      <w:r>
        <w:rPr>
          <w:rFonts w:hint="eastAsia" w:ascii="宋体" w:hAnsi="宋体"/>
          <w:color w:val="000000"/>
          <w:spacing w:val="4"/>
          <w:szCs w:val="21"/>
        </w:rPr>
        <w:t>日期：</w:t>
      </w:r>
      <w:r>
        <w:rPr>
          <w:rFonts w:ascii="宋体" w:hAnsi="宋体"/>
          <w:color w:val="000000"/>
          <w:spacing w:val="4"/>
          <w:szCs w:val="21"/>
          <w:u w:val="single"/>
        </w:rPr>
        <w:t xml:space="preserve">                     </w:t>
      </w:r>
    </w:p>
    <w:p>
      <w:pPr>
        <w:pStyle w:val="4"/>
        <w:jc w:val="center"/>
        <w:rPr>
          <w:rFonts w:ascii="宋体" w:hAnsi="宋体"/>
        </w:rPr>
      </w:pPr>
      <w:r>
        <w:rPr>
          <w:rFonts w:ascii="宋体" w:hAnsi="宋体"/>
        </w:rPr>
        <w:br w:type="page"/>
      </w:r>
      <w:r>
        <w:rPr>
          <w:rFonts w:hint="eastAsia" w:ascii="宋体" w:hAnsi="宋体"/>
        </w:rPr>
        <w:t>供应商资格声明函</w:t>
      </w:r>
    </w:p>
    <w:p>
      <w:pPr>
        <w:spacing w:line="360" w:lineRule="auto"/>
        <w:rPr>
          <w:rFonts w:ascii="宋体" w:hAnsi="宋体"/>
          <w:color w:val="000000"/>
          <w:szCs w:val="21"/>
        </w:rPr>
      </w:pPr>
      <w:r>
        <w:rPr>
          <w:rFonts w:hint="eastAsia" w:ascii="宋体" w:hAnsi="宋体"/>
          <w:b/>
          <w:color w:val="000000"/>
          <w:szCs w:val="21"/>
        </w:rPr>
        <w:t>项目名称：</w:t>
      </w:r>
      <w:r>
        <w:rPr>
          <w:rFonts w:hint="eastAsia" w:ascii="宋体" w:hAnsi="宋体"/>
          <w:color w:val="000000"/>
          <w:szCs w:val="21"/>
        </w:rPr>
        <w:t>广东省阳春监狱2024年度办公耗材采购项目</w:t>
      </w:r>
    </w:p>
    <w:p>
      <w:pPr>
        <w:spacing w:line="360" w:lineRule="auto"/>
        <w:rPr>
          <w:rFonts w:ascii="宋体" w:hAnsi="宋体"/>
          <w:color w:val="000000"/>
          <w:szCs w:val="21"/>
        </w:rPr>
      </w:pPr>
      <w:r>
        <w:rPr>
          <w:rFonts w:hint="eastAsia" w:ascii="宋体" w:hAnsi="宋体"/>
          <w:b/>
          <w:color w:val="000000"/>
          <w:szCs w:val="21"/>
        </w:rPr>
        <w:t>致：</w:t>
      </w:r>
      <w:r>
        <w:rPr>
          <w:rFonts w:hint="eastAsia" w:ascii="宋体" w:hAnsi="宋体"/>
          <w:b/>
          <w:bCs/>
          <w:color w:val="000000"/>
          <w:szCs w:val="21"/>
        </w:rPr>
        <w:t>广东省阳春监狱</w:t>
      </w:r>
      <w:r>
        <w:rPr>
          <w:rFonts w:hint="eastAsia" w:ascii="宋体" w:hAnsi="宋体"/>
          <w:b/>
          <w:color w:val="000000"/>
          <w:szCs w:val="21"/>
        </w:rPr>
        <w:t>、</w:t>
      </w:r>
      <w:r>
        <w:rPr>
          <w:rFonts w:ascii="宋体" w:hAnsi="宋体"/>
          <w:b/>
          <w:color w:val="000000"/>
          <w:szCs w:val="21"/>
        </w:rPr>
        <w:t>云采链（广州）信息科技有限公司</w:t>
      </w:r>
    </w:p>
    <w:p>
      <w:pPr>
        <w:snapToGrid w:val="0"/>
        <w:spacing w:line="360" w:lineRule="auto"/>
        <w:ind w:firstLine="424" w:firstLineChars="202"/>
        <w:rPr>
          <w:rFonts w:ascii="宋体" w:hAnsi="宋体"/>
          <w:color w:val="000000"/>
          <w:szCs w:val="21"/>
        </w:rPr>
      </w:pPr>
    </w:p>
    <w:p>
      <w:pPr>
        <w:snapToGrid w:val="0"/>
        <w:spacing w:line="360" w:lineRule="auto"/>
        <w:ind w:firstLine="424" w:firstLineChars="202"/>
        <w:rPr>
          <w:rFonts w:ascii="宋体" w:hAnsi="宋体"/>
          <w:color w:val="000000"/>
        </w:rPr>
      </w:pPr>
      <w:r>
        <w:rPr>
          <w:rFonts w:hint="eastAsia" w:ascii="宋体" w:hAnsi="宋体"/>
          <w:color w:val="000000"/>
          <w:szCs w:val="21"/>
        </w:rPr>
        <w:t>关于贵单位、贵司</w:t>
      </w:r>
      <w:r>
        <w:rPr>
          <w:rFonts w:hint="eastAsia" w:ascii="宋体" w:hAnsi="宋体"/>
          <w:color w:val="000000"/>
        </w:rPr>
        <w:t>发布</w:t>
      </w:r>
      <w:r>
        <w:rPr>
          <w:rFonts w:hint="eastAsia" w:ascii="宋体" w:hAnsi="宋体"/>
          <w:b/>
          <w:color w:val="000000"/>
          <w:szCs w:val="21"/>
          <w:u w:val="single"/>
        </w:rPr>
        <w:t>广东省阳春监狱2024年度办公耗材采购项目</w:t>
      </w:r>
      <w:r>
        <w:rPr>
          <w:rFonts w:hint="eastAsia" w:ascii="宋体" w:hAnsi="宋体"/>
          <w:color w:val="000000"/>
        </w:rPr>
        <w:t>的采购公告，本公司（企业）愿意参加竞价，并声明：</w:t>
      </w:r>
    </w:p>
    <w:p>
      <w:pPr>
        <w:snapToGrid w:val="0"/>
        <w:spacing w:line="360" w:lineRule="auto"/>
        <w:ind w:firstLine="420" w:firstLineChars="200"/>
        <w:rPr>
          <w:rFonts w:ascii="宋体" w:hAnsi="宋体"/>
          <w:bCs/>
          <w:szCs w:val="20"/>
        </w:rPr>
      </w:pPr>
      <w:r>
        <w:rPr>
          <w:rFonts w:hint="eastAsia" w:ascii="宋体" w:hAnsi="宋体"/>
        </w:rPr>
        <w:t>一、本公司（企业）</w:t>
      </w:r>
      <w:r>
        <w:rPr>
          <w:rFonts w:hint="eastAsia" w:ascii="宋体" w:hAnsi="宋体"/>
          <w:bCs/>
          <w:szCs w:val="20"/>
        </w:rPr>
        <w:t>具备</w:t>
      </w:r>
      <w:r>
        <w:rPr>
          <w:rFonts w:hint="eastAsia" w:ascii="宋体" w:hAnsi="宋体" w:cs="宋体"/>
          <w:color w:val="000000"/>
          <w:szCs w:val="21"/>
        </w:rPr>
        <w:t>以下</w:t>
      </w:r>
      <w:r>
        <w:rPr>
          <w:rFonts w:hint="eastAsia" w:ascii="宋体" w:hAnsi="宋体"/>
          <w:bCs/>
          <w:szCs w:val="20"/>
        </w:rPr>
        <w:t>条件：</w:t>
      </w:r>
    </w:p>
    <w:p>
      <w:pPr>
        <w:widowControl/>
        <w:spacing w:line="360" w:lineRule="auto"/>
        <w:ind w:firstLine="360"/>
        <w:rPr>
          <w:rFonts w:ascii="宋体" w:hAnsi="宋体" w:cs="宋体"/>
          <w:kern w:val="0"/>
          <w:szCs w:val="21"/>
        </w:rPr>
      </w:pPr>
      <w:r>
        <w:rPr>
          <w:rFonts w:hint="eastAsia" w:ascii="宋体" w:hAnsi="宋体" w:cs="宋体"/>
          <w:kern w:val="0"/>
          <w:szCs w:val="21"/>
        </w:rPr>
        <w:t>（一）具有独立承担民事责任的能力；</w:t>
      </w:r>
    </w:p>
    <w:p>
      <w:pPr>
        <w:widowControl/>
        <w:spacing w:line="360" w:lineRule="auto"/>
        <w:ind w:firstLine="360"/>
        <w:rPr>
          <w:rFonts w:ascii="宋体" w:hAnsi="宋体" w:cs="宋体"/>
          <w:kern w:val="0"/>
          <w:szCs w:val="21"/>
        </w:rPr>
      </w:pPr>
      <w:r>
        <w:rPr>
          <w:rFonts w:hint="eastAsia" w:ascii="宋体" w:hAnsi="宋体" w:cs="宋体"/>
          <w:kern w:val="0"/>
          <w:szCs w:val="21"/>
        </w:rPr>
        <w:t>（二）具有良好的商业信誉和健全的财务会计制度；</w:t>
      </w:r>
      <w:r>
        <w:rPr>
          <w:rFonts w:ascii="宋体" w:hAnsi="宋体" w:cs="宋体"/>
          <w:kern w:val="0"/>
          <w:szCs w:val="21"/>
        </w:rPr>
        <w:t xml:space="preserve"> </w:t>
      </w:r>
    </w:p>
    <w:p>
      <w:pPr>
        <w:widowControl/>
        <w:spacing w:line="360" w:lineRule="auto"/>
        <w:ind w:firstLine="360"/>
        <w:rPr>
          <w:rFonts w:ascii="宋体" w:hAnsi="宋体" w:cs="宋体"/>
          <w:kern w:val="0"/>
          <w:szCs w:val="21"/>
        </w:rPr>
      </w:pPr>
      <w:r>
        <w:rPr>
          <w:rFonts w:hint="eastAsia" w:ascii="宋体" w:hAnsi="宋体" w:cs="宋体"/>
          <w:kern w:val="0"/>
          <w:szCs w:val="21"/>
        </w:rPr>
        <w:t>（三）具有履行合同所必需的设备和专业技术能力；</w:t>
      </w:r>
    </w:p>
    <w:p>
      <w:pPr>
        <w:widowControl/>
        <w:spacing w:line="360" w:lineRule="auto"/>
        <w:ind w:firstLine="360"/>
        <w:rPr>
          <w:rFonts w:ascii="宋体" w:hAnsi="宋体" w:cs="宋体"/>
          <w:kern w:val="0"/>
          <w:szCs w:val="21"/>
        </w:rPr>
      </w:pPr>
      <w:r>
        <w:rPr>
          <w:rFonts w:hint="eastAsia" w:ascii="宋体" w:hAnsi="宋体" w:cs="宋体"/>
          <w:kern w:val="0"/>
          <w:szCs w:val="21"/>
        </w:rPr>
        <w:t>（四）有依法缴纳税收和社会保障资金的良好记录；</w:t>
      </w:r>
    </w:p>
    <w:p>
      <w:pPr>
        <w:widowControl/>
        <w:spacing w:line="360" w:lineRule="auto"/>
        <w:ind w:firstLine="360"/>
        <w:rPr>
          <w:rFonts w:ascii="宋体" w:hAnsi="宋体" w:cs="宋体"/>
          <w:kern w:val="0"/>
          <w:szCs w:val="21"/>
        </w:rPr>
      </w:pPr>
      <w:r>
        <w:rPr>
          <w:rFonts w:hint="eastAsia" w:ascii="宋体" w:hAnsi="宋体" w:cs="宋体"/>
          <w:kern w:val="0"/>
          <w:szCs w:val="21"/>
        </w:rPr>
        <w:t>（五）参加政府采购活动前三年内，在经营活动中没有重大违法记录；</w:t>
      </w:r>
    </w:p>
    <w:p>
      <w:pPr>
        <w:widowControl/>
        <w:spacing w:line="360" w:lineRule="auto"/>
        <w:ind w:firstLine="360"/>
        <w:rPr>
          <w:rFonts w:ascii="宋体" w:hAnsi="宋体" w:cs="宋体"/>
          <w:kern w:val="0"/>
          <w:szCs w:val="21"/>
        </w:rPr>
      </w:pPr>
      <w:r>
        <w:rPr>
          <w:rFonts w:hint="eastAsia" w:ascii="宋体" w:hAnsi="宋体" w:cs="宋体"/>
          <w:kern w:val="0"/>
          <w:szCs w:val="21"/>
        </w:rPr>
        <w:t>（六）法律、行政法规规定的其他条件。</w:t>
      </w:r>
    </w:p>
    <w:p>
      <w:pPr>
        <w:snapToGrid w:val="0"/>
        <w:spacing w:line="360" w:lineRule="auto"/>
        <w:ind w:firstLine="424" w:firstLineChars="202"/>
        <w:rPr>
          <w:rFonts w:ascii="宋体" w:hAnsi="宋体"/>
        </w:rPr>
      </w:pPr>
      <w:r>
        <w:rPr>
          <w:rFonts w:hint="eastAsia" w:ascii="宋体" w:hAnsi="宋体"/>
        </w:rPr>
        <w:t>二、本公司（企业）具有本次采购项目服务能力。</w:t>
      </w:r>
    </w:p>
    <w:p>
      <w:pPr>
        <w:snapToGrid w:val="0"/>
        <w:spacing w:line="360" w:lineRule="auto"/>
        <w:ind w:firstLine="424" w:firstLineChars="202"/>
        <w:rPr>
          <w:rFonts w:ascii="宋体" w:hAnsi="宋体"/>
        </w:rPr>
      </w:pPr>
      <w:r>
        <w:rPr>
          <w:rFonts w:hint="eastAsia" w:ascii="宋体" w:hAnsi="宋体"/>
        </w:rPr>
        <w:t>三、本公司（企业）有固定的经营场所，信誉良好、售后维护服务好，并且在经营活动中无严重违法记录。</w:t>
      </w:r>
    </w:p>
    <w:p>
      <w:pPr>
        <w:snapToGrid w:val="0"/>
        <w:spacing w:line="360" w:lineRule="auto"/>
        <w:ind w:firstLine="424" w:firstLineChars="202"/>
        <w:rPr>
          <w:rFonts w:ascii="宋体" w:hAnsi="宋体"/>
        </w:rPr>
      </w:pPr>
      <w:r>
        <w:rPr>
          <w:rFonts w:hint="eastAsia" w:ascii="宋体" w:hAnsi="宋体"/>
        </w:rPr>
        <w:t>四、本公司（企业）</w:t>
      </w:r>
      <w:r>
        <w:rPr>
          <w:rFonts w:ascii="宋体" w:hAnsi="宋体"/>
        </w:rPr>
        <w:t>在本项目中不转包分包且不联合竞价。</w:t>
      </w:r>
    </w:p>
    <w:p>
      <w:pPr>
        <w:pStyle w:val="2"/>
        <w:spacing w:line="360" w:lineRule="auto"/>
        <w:ind w:firstLine="435"/>
        <w:rPr>
          <w:rFonts w:ascii="宋体" w:hAnsi="宋体"/>
        </w:rPr>
      </w:pPr>
      <w:r>
        <w:rPr>
          <w:rFonts w:hint="eastAsia" w:ascii="宋体" w:hAnsi="宋体"/>
        </w:rPr>
        <w:t>五、</w:t>
      </w:r>
      <w:r>
        <w:rPr>
          <w:rFonts w:hint="eastAsia" w:ascii="宋体" w:hAnsi="宋体" w:cs="仿宋_GB2312"/>
          <w:szCs w:val="21"/>
        </w:rPr>
        <w:t>本公司</w:t>
      </w:r>
      <w:r>
        <w:rPr>
          <w:rFonts w:hint="eastAsia" w:ascii="宋体" w:hAnsi="宋体"/>
        </w:rPr>
        <w:t>（企业）</w:t>
      </w:r>
      <w:r>
        <w:rPr>
          <w:rFonts w:hint="eastAsia" w:ascii="宋体" w:hAnsi="宋体" w:cs="仿宋_GB2312"/>
          <w:szCs w:val="21"/>
        </w:rPr>
        <w:t>的股东、实际控制人及管理人员均不属于广东省阳春监狱所属警察职工的配偶、子女及其配偶。</w:t>
      </w:r>
    </w:p>
    <w:p>
      <w:pPr>
        <w:snapToGrid w:val="0"/>
        <w:spacing w:line="360" w:lineRule="auto"/>
        <w:ind w:firstLine="424" w:firstLineChars="202"/>
        <w:rPr>
          <w:rFonts w:ascii="宋体" w:hAnsi="宋体"/>
        </w:rPr>
      </w:pPr>
      <w:r>
        <w:rPr>
          <w:rFonts w:hint="eastAsia" w:ascii="宋体" w:hAnsi="宋体"/>
        </w:rPr>
        <w:t>本公司（企业）承诺在本次采购活动中，如有违法、违规</w:t>
      </w:r>
      <w:r>
        <w:rPr>
          <w:rFonts w:hint="eastAsia" w:ascii="宋体" w:hAnsi="宋体"/>
          <w:szCs w:val="21"/>
        </w:rPr>
        <w:t>、</w:t>
      </w:r>
      <w:r>
        <w:rPr>
          <w:rFonts w:hint="eastAsia" w:ascii="宋体" w:hAnsi="宋体"/>
        </w:rPr>
        <w:t>弄虚作假行为，所造成的损失、不良后果及法律责任，一律由我公司（企业）承担。</w:t>
      </w:r>
    </w:p>
    <w:p>
      <w:pPr>
        <w:spacing w:line="360" w:lineRule="auto"/>
        <w:ind w:firstLine="420"/>
        <w:rPr>
          <w:rFonts w:ascii="宋体" w:hAnsi="宋体"/>
        </w:rPr>
      </w:pPr>
      <w:r>
        <w:rPr>
          <w:rFonts w:hint="eastAsia" w:ascii="宋体" w:hAnsi="宋体"/>
        </w:rPr>
        <w:t>特此声明！</w:t>
      </w:r>
    </w:p>
    <w:p>
      <w:pPr>
        <w:autoSpaceDE w:val="0"/>
        <w:autoSpaceDN w:val="0"/>
        <w:adjustRightInd w:val="0"/>
        <w:spacing w:line="360" w:lineRule="auto"/>
        <w:ind w:firstLine="413" w:firstLineChars="196"/>
        <w:rPr>
          <w:rFonts w:ascii="宋体" w:hAnsi="宋体"/>
          <w:b/>
        </w:rPr>
      </w:pPr>
      <w:r>
        <w:rPr>
          <w:rFonts w:hint="eastAsia" w:ascii="宋体" w:hAnsi="宋体"/>
          <w:b/>
        </w:rPr>
        <w:t>备注：</w:t>
      </w:r>
    </w:p>
    <w:p>
      <w:pPr>
        <w:pStyle w:val="29"/>
        <w:numPr>
          <w:ilvl w:val="0"/>
          <w:numId w:val="20"/>
        </w:numPr>
        <w:autoSpaceDE w:val="0"/>
        <w:autoSpaceDN w:val="0"/>
        <w:adjustRightInd w:val="0"/>
        <w:spacing w:after="78" w:line="360" w:lineRule="auto"/>
        <w:ind w:left="840" w:firstLineChars="0"/>
        <w:rPr>
          <w:rFonts w:ascii="宋体" w:hAnsi="宋体"/>
        </w:rPr>
      </w:pPr>
      <w:r>
        <w:rPr>
          <w:rFonts w:hint="eastAsia" w:ascii="宋体" w:hAnsi="宋体"/>
        </w:rPr>
        <w:t>本声明函必须提供且内容不得擅自删改，否则视为响应无效。</w:t>
      </w:r>
    </w:p>
    <w:p>
      <w:pPr>
        <w:pStyle w:val="29"/>
        <w:numPr>
          <w:ilvl w:val="0"/>
          <w:numId w:val="20"/>
        </w:numPr>
        <w:snapToGrid w:val="0"/>
        <w:spacing w:after="78" w:line="360" w:lineRule="auto"/>
        <w:ind w:left="840" w:firstLineChars="0"/>
        <w:rPr>
          <w:rFonts w:ascii="宋体" w:hAnsi="宋体"/>
          <w:szCs w:val="21"/>
        </w:rPr>
      </w:pPr>
      <w:r>
        <w:rPr>
          <w:rFonts w:hint="eastAsia" w:ascii="宋体" w:hAnsi="宋体"/>
          <w:szCs w:val="21"/>
        </w:rPr>
        <w:t>本声明函如有虚假或与事实不符的，作无效报价处理。</w:t>
      </w:r>
    </w:p>
    <w:p>
      <w:pPr>
        <w:tabs>
          <w:tab w:val="left" w:pos="426"/>
        </w:tabs>
        <w:adjustRightInd w:val="0"/>
        <w:snapToGrid w:val="0"/>
        <w:spacing w:line="360" w:lineRule="auto"/>
        <w:rPr>
          <w:rFonts w:ascii="宋体" w:hAnsi="宋体"/>
          <w:bCs/>
          <w:szCs w:val="20"/>
        </w:rPr>
      </w:pPr>
    </w:p>
    <w:p>
      <w:pPr>
        <w:spacing w:line="360" w:lineRule="auto"/>
        <w:ind w:firstLine="420"/>
        <w:rPr>
          <w:rFonts w:ascii="宋体" w:hAnsi="宋体"/>
          <w:u w:val="single"/>
        </w:rPr>
      </w:pPr>
      <w:r>
        <w:rPr>
          <w:rFonts w:hint="eastAsia" w:ascii="宋体" w:hAnsi="宋体"/>
        </w:rPr>
        <w:t>供应商名称（单位盖</w:t>
      </w:r>
      <w:r>
        <w:rPr>
          <w:rFonts w:hint="eastAsia" w:ascii="宋体" w:hAnsi="宋体"/>
          <w:spacing w:val="4"/>
        </w:rPr>
        <w:t>公章</w:t>
      </w:r>
      <w:r>
        <w:rPr>
          <w:rFonts w:hint="eastAsia" w:ascii="宋体" w:hAnsi="宋体"/>
        </w:rPr>
        <w:t>）：</w:t>
      </w:r>
      <w:r>
        <w:rPr>
          <w:rFonts w:hint="eastAsia" w:ascii="宋体" w:hAnsi="宋体"/>
          <w:u w:val="single"/>
        </w:rPr>
        <w:t xml:space="preserve">                          </w:t>
      </w:r>
    </w:p>
    <w:p>
      <w:pPr>
        <w:spacing w:line="360" w:lineRule="auto"/>
        <w:ind w:firstLine="420" w:firstLineChars="200"/>
        <w:rPr>
          <w:rFonts w:ascii="宋体" w:hAnsi="宋体"/>
          <w:u w:val="single"/>
        </w:rPr>
      </w:pPr>
      <w:r>
        <w:rPr>
          <w:rFonts w:hint="eastAsia" w:ascii="宋体" w:hAnsi="宋体"/>
        </w:rPr>
        <w:t>日期：</w:t>
      </w:r>
      <w:r>
        <w:rPr>
          <w:rFonts w:hint="eastAsia" w:ascii="宋体" w:hAnsi="宋体"/>
          <w:u w:val="single"/>
        </w:rPr>
        <w:t xml:space="preserve">                          </w:t>
      </w:r>
    </w:p>
    <w:p>
      <w:pPr>
        <w:pStyle w:val="4"/>
        <w:jc w:val="center"/>
        <w:rPr>
          <w:rFonts w:ascii="宋体" w:hAnsi="宋体"/>
          <w:color w:val="000000"/>
        </w:rPr>
      </w:pPr>
      <w:r>
        <w:rPr>
          <w:rFonts w:ascii="宋体" w:hAnsi="宋体"/>
          <w:color w:val="000000"/>
        </w:rPr>
        <w:br w:type="page"/>
      </w:r>
      <w:r>
        <w:rPr>
          <w:rFonts w:hint="eastAsia" w:ascii="宋体" w:hAnsi="宋体"/>
          <w:color w:val="000000"/>
        </w:rPr>
        <w:t>用户需求书响应声明函</w:t>
      </w:r>
    </w:p>
    <w:p>
      <w:pPr>
        <w:spacing w:line="360" w:lineRule="auto"/>
        <w:rPr>
          <w:rFonts w:ascii="宋体" w:hAnsi="宋体"/>
          <w:color w:val="000000"/>
          <w:szCs w:val="21"/>
        </w:rPr>
      </w:pPr>
      <w:r>
        <w:rPr>
          <w:rFonts w:hint="eastAsia" w:ascii="宋体" w:hAnsi="宋体"/>
          <w:b/>
          <w:color w:val="000000"/>
          <w:szCs w:val="21"/>
        </w:rPr>
        <w:t>项目名称：</w:t>
      </w:r>
      <w:r>
        <w:rPr>
          <w:rFonts w:hint="eastAsia" w:ascii="宋体" w:hAnsi="宋体"/>
          <w:color w:val="000000"/>
          <w:szCs w:val="21"/>
        </w:rPr>
        <w:t>广东省阳春监狱2024年度办公耗材采购项目</w:t>
      </w:r>
    </w:p>
    <w:p>
      <w:pPr>
        <w:spacing w:line="360" w:lineRule="auto"/>
        <w:rPr>
          <w:rFonts w:ascii="宋体" w:hAnsi="宋体"/>
          <w:color w:val="000000"/>
          <w:szCs w:val="21"/>
        </w:rPr>
      </w:pPr>
      <w:r>
        <w:rPr>
          <w:rFonts w:hint="eastAsia" w:ascii="宋体" w:hAnsi="宋体"/>
          <w:b/>
          <w:color w:val="000000"/>
          <w:szCs w:val="21"/>
        </w:rPr>
        <w:t>致：</w:t>
      </w:r>
      <w:r>
        <w:rPr>
          <w:rFonts w:hint="eastAsia" w:ascii="宋体" w:hAnsi="宋体"/>
          <w:b/>
          <w:bCs/>
          <w:color w:val="000000"/>
          <w:szCs w:val="21"/>
        </w:rPr>
        <w:t>广东省阳春监狱</w:t>
      </w:r>
      <w:r>
        <w:rPr>
          <w:rFonts w:hint="eastAsia" w:ascii="宋体" w:hAnsi="宋体"/>
          <w:b/>
          <w:color w:val="000000"/>
          <w:szCs w:val="21"/>
        </w:rPr>
        <w:t>、</w:t>
      </w:r>
      <w:r>
        <w:rPr>
          <w:rFonts w:ascii="宋体" w:hAnsi="宋体"/>
          <w:b/>
          <w:color w:val="000000"/>
          <w:szCs w:val="21"/>
        </w:rPr>
        <w:t>云采链（广州）信息科技有限公司</w:t>
      </w:r>
    </w:p>
    <w:p>
      <w:pPr>
        <w:spacing w:line="360" w:lineRule="auto"/>
        <w:ind w:firstLine="525" w:firstLineChars="250"/>
        <w:rPr>
          <w:rFonts w:ascii="宋体" w:hAnsi="宋体"/>
          <w:color w:val="000000"/>
          <w:szCs w:val="21"/>
        </w:rPr>
      </w:pPr>
      <w:r>
        <w:rPr>
          <w:rFonts w:hint="eastAsia" w:ascii="宋体" w:hAnsi="宋体"/>
          <w:color w:val="000000"/>
          <w:szCs w:val="21"/>
        </w:rPr>
        <w:t>关于贵单位、贵公司发布</w:t>
      </w:r>
      <w:r>
        <w:rPr>
          <w:rFonts w:hint="eastAsia" w:ascii="宋体" w:hAnsi="宋体"/>
          <w:b/>
          <w:color w:val="000000"/>
          <w:szCs w:val="21"/>
          <w:u w:val="single"/>
        </w:rPr>
        <w:t>广东省阳春监狱2024年度办公耗材采购项目</w:t>
      </w:r>
      <w:r>
        <w:rPr>
          <w:rFonts w:hint="eastAsia" w:ascii="宋体" w:hAnsi="宋体"/>
          <w:color w:val="000000"/>
          <w:szCs w:val="21"/>
        </w:rPr>
        <w:t>的竞价公告，本公司（企业）愿意参加采购活动，并作出如下声明：</w:t>
      </w:r>
    </w:p>
    <w:p>
      <w:pPr>
        <w:pStyle w:val="24"/>
        <w:tabs>
          <w:tab w:val="left" w:pos="426"/>
        </w:tabs>
        <w:snapToGrid w:val="0"/>
        <w:spacing w:line="360" w:lineRule="auto"/>
        <w:ind w:firstLine="510" w:firstLineChars="243"/>
        <w:rPr>
          <w:rFonts w:ascii="宋体" w:hAnsi="宋体"/>
          <w:color w:val="000000"/>
          <w:szCs w:val="21"/>
        </w:rPr>
      </w:pPr>
      <w:r>
        <w:rPr>
          <w:rFonts w:hint="eastAsia" w:ascii="宋体" w:hAnsi="宋体"/>
          <w:color w:val="000000"/>
          <w:szCs w:val="21"/>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pPr>
        <w:pStyle w:val="24"/>
        <w:tabs>
          <w:tab w:val="left" w:pos="426"/>
        </w:tabs>
        <w:snapToGrid w:val="0"/>
        <w:spacing w:line="360" w:lineRule="auto"/>
        <w:ind w:firstLine="510" w:firstLineChars="243"/>
        <w:rPr>
          <w:rFonts w:ascii="宋体" w:hAnsi="宋体" w:cs="宋体"/>
          <w:color w:val="000000"/>
          <w:szCs w:val="21"/>
        </w:rPr>
      </w:pPr>
      <w:r>
        <w:rPr>
          <w:rFonts w:hint="eastAsia" w:ascii="宋体" w:hAnsi="宋体" w:cs="宋体"/>
          <w:color w:val="000000"/>
          <w:szCs w:val="21"/>
        </w:rPr>
        <w:t>本公司（企业）承诺在本次采购活动中，如有违法、违规、弄虚作假行为，所造成的损失、不良后果及法律责任，一律由我公司（企业）承担。</w:t>
      </w:r>
    </w:p>
    <w:p>
      <w:pPr>
        <w:autoSpaceDE w:val="0"/>
        <w:autoSpaceDN w:val="0"/>
        <w:adjustRightInd w:val="0"/>
        <w:spacing w:line="360" w:lineRule="auto"/>
        <w:ind w:firstLine="413" w:firstLineChars="196"/>
        <w:rPr>
          <w:rFonts w:ascii="宋体" w:hAnsi="宋体"/>
          <w:b/>
          <w:color w:val="000000"/>
          <w:szCs w:val="21"/>
        </w:rPr>
      </w:pPr>
      <w:r>
        <w:rPr>
          <w:rFonts w:hint="eastAsia" w:ascii="宋体" w:hAnsi="宋体"/>
          <w:b/>
          <w:color w:val="000000"/>
          <w:szCs w:val="21"/>
        </w:rPr>
        <w:t>备注：</w:t>
      </w:r>
    </w:p>
    <w:p>
      <w:pPr>
        <w:pStyle w:val="25"/>
        <w:numPr>
          <w:ilvl w:val="0"/>
          <w:numId w:val="21"/>
        </w:numPr>
        <w:autoSpaceDE w:val="0"/>
        <w:autoSpaceDN w:val="0"/>
        <w:adjustRightInd w:val="0"/>
        <w:spacing w:line="360" w:lineRule="auto"/>
        <w:ind w:firstLineChars="0"/>
        <w:rPr>
          <w:rFonts w:ascii="宋体" w:hAnsi="宋体"/>
          <w:color w:val="000000"/>
          <w:szCs w:val="21"/>
        </w:rPr>
      </w:pPr>
      <w:r>
        <w:rPr>
          <w:rFonts w:hint="eastAsia" w:ascii="宋体" w:hAnsi="宋体"/>
          <w:color w:val="000000"/>
          <w:szCs w:val="21"/>
        </w:rPr>
        <w:t>本声明函必须提供且内容不得擅自删改，否则视为响应无效。</w:t>
      </w:r>
    </w:p>
    <w:p>
      <w:pPr>
        <w:pStyle w:val="25"/>
        <w:numPr>
          <w:ilvl w:val="0"/>
          <w:numId w:val="21"/>
        </w:numPr>
        <w:snapToGrid w:val="0"/>
        <w:spacing w:line="360" w:lineRule="auto"/>
        <w:ind w:firstLineChars="0"/>
        <w:rPr>
          <w:rFonts w:ascii="宋体" w:hAnsi="宋体"/>
          <w:color w:val="000000"/>
          <w:szCs w:val="21"/>
        </w:rPr>
      </w:pPr>
      <w:r>
        <w:rPr>
          <w:rFonts w:hint="eastAsia" w:ascii="宋体" w:hAnsi="宋体"/>
          <w:color w:val="000000"/>
          <w:szCs w:val="21"/>
        </w:rPr>
        <w:t>本声明函如有虚假或与事实不符的，作无效报价处理。</w:t>
      </w:r>
    </w:p>
    <w:p>
      <w:pPr>
        <w:pStyle w:val="24"/>
        <w:tabs>
          <w:tab w:val="left" w:pos="426"/>
        </w:tabs>
        <w:snapToGrid w:val="0"/>
        <w:spacing w:line="360" w:lineRule="auto"/>
        <w:ind w:firstLine="200" w:firstLineChars="0"/>
        <w:rPr>
          <w:rFonts w:ascii="宋体" w:hAnsi="宋体" w:cs="宋体"/>
          <w:color w:val="000000"/>
          <w:szCs w:val="21"/>
        </w:rPr>
      </w:pPr>
    </w:p>
    <w:p>
      <w:pPr>
        <w:widowControl/>
        <w:jc w:val="left"/>
        <w:rPr>
          <w:rFonts w:ascii="宋体" w:hAnsi="宋体"/>
          <w:b/>
          <w:bCs/>
          <w:color w:val="000000"/>
          <w:kern w:val="0"/>
          <w:szCs w:val="21"/>
        </w:rPr>
      </w:pPr>
    </w:p>
    <w:p>
      <w:pPr>
        <w:wordWrap w:val="0"/>
        <w:spacing w:line="500" w:lineRule="exact"/>
        <w:jc w:val="right"/>
        <w:rPr>
          <w:rFonts w:ascii="宋体" w:hAnsi="宋体"/>
          <w:color w:val="000000"/>
          <w:szCs w:val="21"/>
          <w:u w:val="single"/>
        </w:rPr>
      </w:pPr>
      <w:r>
        <w:rPr>
          <w:rFonts w:hint="eastAsia" w:ascii="宋体" w:hAnsi="宋体"/>
          <w:color w:val="000000"/>
          <w:spacing w:val="4"/>
          <w:szCs w:val="21"/>
        </w:rPr>
        <w:t>供应商名称（</w:t>
      </w:r>
      <w:r>
        <w:rPr>
          <w:rFonts w:hint="eastAsia" w:ascii="宋体" w:hAnsi="宋体"/>
          <w:color w:val="000000"/>
          <w:szCs w:val="21"/>
        </w:rPr>
        <w:t>单位盖</w:t>
      </w:r>
      <w:r>
        <w:rPr>
          <w:rFonts w:hint="eastAsia" w:ascii="宋体" w:hAnsi="宋体"/>
          <w:color w:val="000000"/>
          <w:spacing w:val="4"/>
          <w:szCs w:val="21"/>
        </w:rPr>
        <w:t>公章）：</w:t>
      </w:r>
      <w:r>
        <w:rPr>
          <w:rFonts w:hint="eastAsia" w:ascii="宋体" w:hAnsi="宋体"/>
          <w:color w:val="000000"/>
          <w:spacing w:val="4"/>
          <w:szCs w:val="21"/>
          <w:u w:val="single"/>
        </w:rPr>
        <w:t xml:space="preserve">          </w:t>
      </w:r>
    </w:p>
    <w:p>
      <w:pPr>
        <w:spacing w:line="500" w:lineRule="exact"/>
        <w:ind w:firstLine="105" w:firstLineChars="50"/>
        <w:jc w:val="right"/>
        <w:rPr>
          <w:rFonts w:ascii="宋体" w:hAnsi="宋体"/>
          <w:color w:val="000000"/>
          <w:szCs w:val="21"/>
          <w:u w:val="single"/>
        </w:rPr>
      </w:pPr>
    </w:p>
    <w:p>
      <w:pPr>
        <w:wordWrap w:val="0"/>
        <w:jc w:val="right"/>
        <w:rPr>
          <w:rFonts w:ascii="宋体" w:hAnsi="宋体"/>
          <w:color w:val="000000"/>
          <w:szCs w:val="21"/>
          <w:u w:val="single"/>
        </w:rPr>
      </w:pPr>
      <w:r>
        <w:rPr>
          <w:rFonts w:hint="eastAsia" w:ascii="宋体" w:hAnsi="宋体"/>
          <w:color w:val="000000"/>
          <w:spacing w:val="4"/>
          <w:szCs w:val="21"/>
        </w:rPr>
        <w:t>日期：</w:t>
      </w:r>
      <w:r>
        <w:rPr>
          <w:rFonts w:hint="eastAsia" w:ascii="宋体" w:hAnsi="宋体"/>
          <w:color w:val="000000"/>
          <w:spacing w:val="4"/>
          <w:szCs w:val="21"/>
          <w:u w:val="single"/>
        </w:rPr>
        <w:t xml:space="preserve">          </w:t>
      </w:r>
      <w:r>
        <w:rPr>
          <w:rFonts w:hint="eastAsia" w:ascii="宋体" w:hAnsi="宋体"/>
          <w:color w:val="000000"/>
          <w:szCs w:val="21"/>
          <w:u w:val="single"/>
        </w:rPr>
        <w:t xml:space="preserve"> </w:t>
      </w:r>
    </w:p>
    <w:p>
      <w:pPr>
        <w:widowControl/>
        <w:jc w:val="left"/>
        <w:rPr>
          <w:rFonts w:ascii="宋体" w:hAnsi="宋体"/>
          <w:color w:val="000000"/>
        </w:rPr>
      </w:pPr>
    </w:p>
    <w:p>
      <w:pPr>
        <w:pStyle w:val="4"/>
        <w:pageBreakBefore/>
        <w:adjustRightInd w:val="0"/>
        <w:snapToGrid w:val="0"/>
        <w:spacing w:before="0" w:after="0" w:line="360" w:lineRule="auto"/>
        <w:jc w:val="center"/>
        <w:rPr>
          <w:rFonts w:ascii="宋体" w:hAnsi="宋体"/>
          <w:b w:val="0"/>
          <w:color w:val="000000"/>
        </w:rPr>
      </w:pPr>
      <w:r>
        <w:rPr>
          <w:rFonts w:hint="eastAsia" w:ascii="宋体" w:hAnsi="宋体"/>
          <w:b w:val="0"/>
          <w:color w:val="000000"/>
        </w:rPr>
        <w:t>法定代表人授权委托书</w:t>
      </w:r>
    </w:p>
    <w:p>
      <w:pPr>
        <w:pStyle w:val="11"/>
        <w:spacing w:line="360" w:lineRule="auto"/>
        <w:ind w:firstLine="420" w:firstLineChars="200"/>
        <w:rPr>
          <w:rFonts w:hAnsi="宋体"/>
          <w:color w:val="000000"/>
          <w:sz w:val="21"/>
        </w:rPr>
      </w:pPr>
      <w:r>
        <w:rPr>
          <w:rFonts w:hint="eastAsia" w:hAnsi="宋体"/>
          <w:color w:val="000000"/>
          <w:sz w:val="21"/>
        </w:rPr>
        <w:t>本授权委托书声明：注册于</w:t>
      </w:r>
      <w:r>
        <w:rPr>
          <w:rFonts w:hint="eastAsia" w:hAnsi="宋体"/>
          <w:color w:val="000000"/>
          <w:sz w:val="21"/>
          <w:u w:val="single"/>
        </w:rPr>
        <w:t xml:space="preserve"> （供应商地址）  </w:t>
      </w:r>
      <w:r>
        <w:rPr>
          <w:rFonts w:hint="eastAsia" w:hAnsi="宋体"/>
          <w:color w:val="000000"/>
          <w:sz w:val="21"/>
        </w:rPr>
        <w:t>的</w:t>
      </w:r>
      <w:r>
        <w:rPr>
          <w:rFonts w:hint="eastAsia" w:hAnsi="宋体"/>
          <w:color w:val="000000"/>
          <w:sz w:val="21"/>
          <w:u w:val="single"/>
        </w:rPr>
        <w:t xml:space="preserve">  （供应商名称）    </w:t>
      </w:r>
      <w:r>
        <w:rPr>
          <w:rFonts w:hint="eastAsia" w:hAnsi="宋体"/>
          <w:color w:val="000000"/>
          <w:sz w:val="21"/>
        </w:rPr>
        <w:t>在下面签名的</w:t>
      </w:r>
      <w:r>
        <w:rPr>
          <w:rFonts w:hint="eastAsia" w:hAnsi="宋体"/>
          <w:color w:val="000000"/>
          <w:sz w:val="21"/>
          <w:u w:val="single"/>
        </w:rPr>
        <w:t>（法定代表人姓名、职务）</w:t>
      </w:r>
      <w:r>
        <w:rPr>
          <w:rFonts w:hint="eastAsia" w:hAnsi="宋体"/>
          <w:color w:val="000000"/>
          <w:sz w:val="21"/>
        </w:rPr>
        <w:t>在此授权本公司</w:t>
      </w:r>
      <w:r>
        <w:rPr>
          <w:rFonts w:hint="eastAsia" w:hAnsi="宋体"/>
          <w:color w:val="000000"/>
          <w:sz w:val="21"/>
          <w:u w:val="single"/>
        </w:rPr>
        <w:t>（被授权人姓名、职务）</w:t>
      </w:r>
      <w:r>
        <w:rPr>
          <w:rFonts w:hint="eastAsia" w:hAnsi="宋体"/>
          <w:color w:val="000000"/>
          <w:sz w:val="21"/>
        </w:rPr>
        <w:t>作为我公司的合法代理人，就</w:t>
      </w:r>
      <w:r>
        <w:rPr>
          <w:rFonts w:hint="eastAsia" w:hAnsi="宋体"/>
          <w:color w:val="000000"/>
          <w:sz w:val="21"/>
          <w:u w:val="single"/>
        </w:rPr>
        <w:t xml:space="preserve"> </w:t>
      </w:r>
      <w:r>
        <w:rPr>
          <w:rFonts w:hint="eastAsia" w:hAnsi="宋体"/>
          <w:b/>
          <w:color w:val="000000"/>
          <w:sz w:val="21"/>
          <w:u w:val="single"/>
        </w:rPr>
        <w:t>广东省阳春监狱2024年度办公耗材采购项目</w:t>
      </w:r>
      <w:r>
        <w:rPr>
          <w:rFonts w:hint="eastAsia" w:hAnsi="宋体"/>
          <w:b/>
          <w:bCs/>
          <w:color w:val="000000"/>
          <w:sz w:val="21"/>
          <w:u w:val="single"/>
        </w:rPr>
        <w:t xml:space="preserve"> </w:t>
      </w:r>
      <w:r>
        <w:rPr>
          <w:rFonts w:hint="eastAsia" w:hAnsi="宋体"/>
          <w:color w:val="000000"/>
          <w:sz w:val="21"/>
        </w:rPr>
        <w:t>的竞价采购活动，采购合同的签订、执行、完成和售后服务，作为供应商代表以我方的名义处理一切与之有关的事务。</w:t>
      </w:r>
    </w:p>
    <w:p>
      <w:pPr>
        <w:pStyle w:val="11"/>
        <w:spacing w:line="360" w:lineRule="auto"/>
        <w:ind w:firstLine="420" w:firstLineChars="200"/>
        <w:rPr>
          <w:rFonts w:hAnsi="宋体"/>
          <w:color w:val="000000"/>
          <w:sz w:val="21"/>
        </w:rPr>
      </w:pPr>
      <w:r>
        <w:rPr>
          <w:rFonts w:hint="eastAsia" w:hAnsi="宋体"/>
          <w:color w:val="000000"/>
          <w:sz w:val="21"/>
        </w:rPr>
        <w:t>被授权人（供应商授权代表）无转委托权限。</w:t>
      </w:r>
    </w:p>
    <w:p>
      <w:pPr>
        <w:spacing w:line="360" w:lineRule="auto"/>
        <w:ind w:firstLine="420" w:firstLineChars="200"/>
        <w:rPr>
          <w:rFonts w:ascii="宋体" w:hAnsi="宋体"/>
          <w:color w:val="000000"/>
          <w:szCs w:val="21"/>
        </w:rPr>
      </w:pPr>
      <w:r>
        <w:rPr>
          <w:rFonts w:hint="eastAsia" w:ascii="宋体" w:hAnsi="宋体"/>
          <w:color w:val="000000"/>
          <w:szCs w:val="21"/>
        </w:rPr>
        <w:t>本授权书自法定代表人签字之日起生效，特此声明。</w:t>
      </w:r>
    </w:p>
    <w:p>
      <w:pPr>
        <w:spacing w:line="360" w:lineRule="auto"/>
        <w:rPr>
          <w:rFonts w:ascii="宋体" w:hAnsi="宋体"/>
          <w:b/>
          <w:color w:val="000000"/>
          <w:szCs w:val="21"/>
        </w:rPr>
      </w:pPr>
      <w:r>
        <w:rPr>
          <w:rFonts w:hint="eastAsia" w:ascii="宋体" w:hAnsi="宋体"/>
          <w:b/>
          <w:color w:val="000000"/>
          <w:szCs w:val="21"/>
        </w:rPr>
        <w:t>随附1、《法定代表人证明书》；</w:t>
      </w:r>
    </w:p>
    <w:p>
      <w:pPr>
        <w:spacing w:line="360" w:lineRule="auto"/>
        <w:rPr>
          <w:rFonts w:ascii="宋体" w:hAnsi="宋体"/>
          <w:color w:val="000000"/>
          <w:szCs w:val="21"/>
        </w:rPr>
      </w:pPr>
    </w:p>
    <w:p>
      <w:pPr>
        <w:spacing w:line="360" w:lineRule="auto"/>
        <w:rPr>
          <w:rFonts w:ascii="宋体" w:hAnsi="宋体"/>
          <w:color w:val="000000"/>
          <w:szCs w:val="21"/>
        </w:rPr>
      </w:pPr>
      <w:r>
        <w:rPr>
          <w:rFonts w:hint="eastAsia" w:ascii="宋体" w:hAnsi="宋体"/>
          <w:color w:val="000000"/>
          <w:szCs w:val="21"/>
        </w:rPr>
        <w:t>供应商名称（盖公章）：</w:t>
      </w:r>
    </w:p>
    <w:p>
      <w:pPr>
        <w:spacing w:line="360" w:lineRule="auto"/>
        <w:rPr>
          <w:rFonts w:ascii="宋体" w:hAnsi="宋体"/>
          <w:color w:val="000000"/>
          <w:szCs w:val="21"/>
        </w:rPr>
      </w:pPr>
      <w:r>
        <w:rPr>
          <w:rFonts w:hint="eastAsia" w:ascii="宋体" w:hAnsi="宋体"/>
          <w:color w:val="000000"/>
          <w:szCs w:val="21"/>
        </w:rPr>
        <w:t>地      址：</w:t>
      </w:r>
    </w:p>
    <w:p>
      <w:pPr>
        <w:tabs>
          <w:tab w:val="left" w:pos="3780"/>
        </w:tabs>
        <w:spacing w:line="360" w:lineRule="auto"/>
        <w:rPr>
          <w:rFonts w:ascii="宋体" w:hAnsi="宋体"/>
          <w:color w:val="000000"/>
          <w:szCs w:val="21"/>
        </w:rPr>
      </w:pPr>
      <w:r>
        <w:rPr>
          <w:rFonts w:hint="eastAsia" w:ascii="宋体" w:hAnsi="宋体"/>
          <w:color w:val="000000"/>
          <w:szCs w:val="21"/>
        </w:rPr>
        <w:t>法定代表人（签字或盖章）：                         签字日期：</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p>
    <w:p>
      <w:pPr>
        <w:spacing w:line="360" w:lineRule="auto"/>
        <w:rPr>
          <w:rFonts w:ascii="宋体" w:hAnsi="宋体"/>
          <w:color w:val="000000"/>
          <w:szCs w:val="21"/>
        </w:rPr>
      </w:pPr>
    </w:p>
    <w:p>
      <w:pPr>
        <w:spacing w:line="360" w:lineRule="auto"/>
        <w:rPr>
          <w:rFonts w:ascii="宋体" w:hAnsi="宋体"/>
          <w:color w:val="000000"/>
          <w:szCs w:val="21"/>
        </w:rPr>
      </w:pPr>
      <w:r>
        <w:rPr>
          <w:rFonts w:ascii="宋体" w:hAnsi="宋体"/>
          <w:color w:val="000000"/>
          <w:szCs w:val="21"/>
        </w:rPr>
        <w:pict>
          <v:group id="组合 1026" o:spid="_x0000_s1027" o:spt="203" style="position:absolute;left:0pt;margin-left:-41.95pt;margin-top:9.3pt;height:125.45pt;width:445pt;z-index:1024;mso-width-relative:page;mso-height-relative:page;" coordorigin="1080,8670" coordsize="8900,2509">
            <o:lock v:ext="edit"/>
            <v:rect id="矩形 1027" o:spid="_x0000_s1028" o:spt="1" style="position:absolute;left:1080;top:8670;height:2509;width:4218;" o:preferrelative="t" coordsize="21600,21600">
              <v:path/>
              <v:fill focussize="0,0"/>
              <v:stroke miterlimit="2"/>
              <v:imagedata o:title=""/>
              <o:lock v:ext="edit"/>
              <v:textbox>
                <w:txbxContent>
                  <w:p>
                    <w:pPr>
                      <w:jc w:val="center"/>
                    </w:pPr>
                    <w:r>
                      <w:rPr>
                        <w:rFonts w:hint="eastAsia"/>
                      </w:rPr>
                      <w:t>身份证（正面）</w:t>
                    </w:r>
                  </w:p>
                </w:txbxContent>
              </v:textbox>
            </v:rect>
            <v:rect id="矩形 1028" o:spid="_x0000_s1029" o:spt="1" style="position:absolute;left:5761;top:8670;height:2509;width:4219;" o:preferrelative="t" coordsize="21600,21600">
              <v:path/>
              <v:fill focussize="0,0"/>
              <v:stroke miterlimit="2"/>
              <v:imagedata o:title=""/>
              <o:lock v:ext="edit"/>
              <v:textbox>
                <w:txbxContent>
                  <w:p>
                    <w:pPr>
                      <w:jc w:val="center"/>
                    </w:pPr>
                    <w:r>
                      <w:rPr>
                        <w:rFonts w:hint="eastAsia"/>
                      </w:rPr>
                      <w:t>身份证（反面）</w:t>
                    </w:r>
                  </w:p>
                  <w:p/>
                </w:txbxContent>
              </v:textbox>
            </v:rect>
          </v:group>
        </w:pict>
      </w:r>
    </w:p>
    <w:p>
      <w:pPr>
        <w:spacing w:line="360" w:lineRule="auto"/>
        <w:rPr>
          <w:rFonts w:ascii="宋体" w:hAnsi="宋体"/>
          <w:color w:val="000000"/>
          <w:szCs w:val="21"/>
        </w:rPr>
      </w:pPr>
    </w:p>
    <w:p>
      <w:pPr>
        <w:spacing w:line="360" w:lineRule="auto"/>
        <w:rPr>
          <w:rFonts w:ascii="宋体" w:hAnsi="宋体"/>
          <w:color w:val="000000"/>
          <w:szCs w:val="21"/>
        </w:rPr>
      </w:pPr>
    </w:p>
    <w:p>
      <w:pPr>
        <w:spacing w:line="360" w:lineRule="auto"/>
        <w:rPr>
          <w:rFonts w:ascii="宋体" w:hAnsi="宋体"/>
          <w:color w:val="000000"/>
          <w:szCs w:val="21"/>
        </w:rPr>
      </w:pPr>
    </w:p>
    <w:p>
      <w:pPr>
        <w:spacing w:line="360" w:lineRule="auto"/>
        <w:rPr>
          <w:rFonts w:ascii="宋体" w:hAnsi="宋体"/>
          <w:color w:val="000000"/>
          <w:szCs w:val="21"/>
        </w:rPr>
      </w:pPr>
    </w:p>
    <w:p>
      <w:pPr>
        <w:spacing w:line="360" w:lineRule="auto"/>
        <w:rPr>
          <w:rFonts w:ascii="宋体" w:hAnsi="宋体"/>
          <w:color w:val="000000"/>
          <w:szCs w:val="21"/>
        </w:rPr>
      </w:pPr>
    </w:p>
    <w:p>
      <w:pPr>
        <w:pStyle w:val="4"/>
        <w:jc w:val="center"/>
        <w:rPr>
          <w:rFonts w:ascii="宋体" w:hAnsi="宋体"/>
        </w:rPr>
      </w:pPr>
      <w:r>
        <w:rPr>
          <w:rFonts w:ascii="宋体" w:hAnsi="宋体"/>
          <w:szCs w:val="21"/>
        </w:rPr>
        <w:br w:type="page"/>
      </w:r>
      <w:r>
        <w:rPr>
          <w:rFonts w:hint="eastAsia" w:ascii="宋体" w:hAnsi="宋体"/>
        </w:rPr>
        <w:t>法定代表人证明书</w:t>
      </w:r>
    </w:p>
    <w:p>
      <w:pPr>
        <w:tabs>
          <w:tab w:val="left" w:pos="900"/>
        </w:tabs>
        <w:spacing w:line="480" w:lineRule="auto"/>
        <w:ind w:firstLine="945" w:firstLineChars="450"/>
        <w:rPr>
          <w:rFonts w:ascii="宋体" w:hAnsi="宋体"/>
          <w:color w:val="000000"/>
          <w:szCs w:val="21"/>
        </w:rPr>
      </w:pP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rPr>
        <w:t>同志，现任我单位</w:t>
      </w:r>
      <w:r>
        <w:rPr>
          <w:rFonts w:ascii="宋体" w:hAnsi="宋体"/>
          <w:color w:val="000000"/>
          <w:szCs w:val="21"/>
          <w:u w:val="single"/>
        </w:rPr>
        <w:t xml:space="preserve">         </w:t>
      </w:r>
      <w:r>
        <w:rPr>
          <w:rFonts w:hint="eastAsia" w:ascii="宋体" w:hAnsi="宋体"/>
          <w:color w:val="000000"/>
          <w:szCs w:val="21"/>
        </w:rPr>
        <w:t>职务，为法定代表人，特此证明。</w:t>
      </w:r>
    </w:p>
    <w:p>
      <w:pPr>
        <w:spacing w:line="480" w:lineRule="auto"/>
        <w:ind w:firstLine="420" w:firstLineChars="200"/>
        <w:rPr>
          <w:rFonts w:ascii="宋体" w:hAnsi="宋体"/>
          <w:color w:val="000000"/>
          <w:szCs w:val="21"/>
        </w:rPr>
      </w:pPr>
      <w:r>
        <w:rPr>
          <w:rFonts w:hint="eastAsia" w:ascii="宋体" w:hAnsi="宋体"/>
          <w:color w:val="000000"/>
          <w:szCs w:val="21"/>
        </w:rPr>
        <w:t>本证明书自签发之日起生效，有效期与本公司参与竞价的文件中标注的有效期相同。</w:t>
      </w:r>
    </w:p>
    <w:p>
      <w:pPr>
        <w:spacing w:line="480" w:lineRule="auto"/>
        <w:ind w:firstLine="420" w:firstLineChars="200"/>
        <w:rPr>
          <w:rFonts w:ascii="宋体" w:hAnsi="宋体"/>
          <w:color w:val="000000"/>
          <w:szCs w:val="21"/>
        </w:rPr>
      </w:pPr>
      <w:r>
        <w:rPr>
          <w:rFonts w:hint="eastAsia" w:ascii="宋体" w:hAnsi="宋体"/>
          <w:color w:val="000000"/>
          <w:szCs w:val="21"/>
        </w:rPr>
        <w:t>附：</w:t>
      </w:r>
    </w:p>
    <w:p>
      <w:pPr>
        <w:spacing w:line="480" w:lineRule="auto"/>
        <w:ind w:firstLine="840" w:firstLineChars="400"/>
        <w:rPr>
          <w:rFonts w:ascii="宋体" w:hAnsi="宋体"/>
          <w:color w:val="000000"/>
          <w:szCs w:val="21"/>
        </w:rPr>
      </w:pPr>
      <w:r>
        <w:rPr>
          <w:rFonts w:hint="eastAsia" w:ascii="宋体" w:hAnsi="宋体"/>
          <w:color w:val="000000"/>
          <w:szCs w:val="21"/>
        </w:rPr>
        <w:t xml:space="preserve">营业执照（注册号）：                       </w:t>
      </w:r>
    </w:p>
    <w:p>
      <w:pPr>
        <w:spacing w:line="480" w:lineRule="auto"/>
        <w:ind w:firstLine="840" w:firstLineChars="400"/>
        <w:rPr>
          <w:rFonts w:ascii="宋体" w:hAnsi="宋体"/>
          <w:color w:val="000000"/>
          <w:szCs w:val="21"/>
        </w:rPr>
      </w:pPr>
      <w:r>
        <w:rPr>
          <w:rFonts w:hint="eastAsia" w:ascii="宋体" w:hAnsi="宋体"/>
          <w:color w:val="000000"/>
          <w:szCs w:val="21"/>
        </w:rPr>
        <w:t>经济性质：</w:t>
      </w:r>
    </w:p>
    <w:p>
      <w:pPr>
        <w:spacing w:line="480" w:lineRule="auto"/>
        <w:ind w:firstLine="840" w:firstLineChars="400"/>
        <w:rPr>
          <w:rFonts w:ascii="宋体" w:hAnsi="宋体"/>
          <w:color w:val="000000"/>
          <w:szCs w:val="21"/>
        </w:rPr>
      </w:pPr>
      <w:r>
        <w:rPr>
          <w:rFonts w:hint="eastAsia" w:ascii="宋体" w:hAnsi="宋体"/>
          <w:color w:val="000000"/>
          <w:szCs w:val="21"/>
        </w:rPr>
        <w:t>主营（产）：</w:t>
      </w:r>
    </w:p>
    <w:p>
      <w:pPr>
        <w:spacing w:line="480" w:lineRule="auto"/>
        <w:ind w:firstLine="840" w:firstLineChars="400"/>
        <w:rPr>
          <w:rFonts w:ascii="宋体" w:hAnsi="宋体"/>
          <w:color w:val="000000"/>
          <w:szCs w:val="21"/>
        </w:rPr>
      </w:pPr>
      <w:r>
        <w:rPr>
          <w:rFonts w:hint="eastAsia" w:ascii="宋体" w:hAnsi="宋体"/>
          <w:color w:val="000000"/>
          <w:szCs w:val="21"/>
        </w:rPr>
        <w:t>兼营（产）：</w:t>
      </w:r>
    </w:p>
    <w:p>
      <w:pPr>
        <w:spacing w:line="480" w:lineRule="auto"/>
        <w:ind w:firstLine="840" w:firstLineChars="400"/>
        <w:rPr>
          <w:rFonts w:ascii="宋体" w:hAnsi="宋体"/>
          <w:color w:val="000000"/>
          <w:szCs w:val="21"/>
        </w:rPr>
      </w:pPr>
      <w:r>
        <w:rPr>
          <w:rFonts w:ascii="宋体" w:hAnsi="宋体"/>
          <w:color w:val="000000"/>
          <w:szCs w:val="21"/>
        </w:rPr>
        <w:pict>
          <v:group id="组合 1029" o:spid="_x0000_s1030" o:spt="203" style="position:absolute;left:0pt;margin-left:-38.75pt;margin-top:19.2pt;height:130.45pt;width:435.85pt;z-index:1024;mso-width-relative:page;mso-height-relative:page;" coordorigin="1146,7566" coordsize="8717,2609">
            <o:lock v:ext="edit"/>
            <v:rect id="矩形 1030" o:spid="_x0000_s1031" o:spt="1" style="position:absolute;left:1146;top:7566;height:2609;width:4166;" o:preferrelative="t" coordsize="21600,21600">
              <v:path/>
              <v:fill focussize="0,0"/>
              <v:stroke miterlimit="2"/>
              <v:imagedata o:title=""/>
              <o:lock v:ext="edit"/>
              <v:textbox>
                <w:txbxContent>
                  <w:p>
                    <w:pPr>
                      <w:jc w:val="center"/>
                    </w:pPr>
                    <w:r>
                      <w:rPr>
                        <w:rFonts w:hint="eastAsia"/>
                      </w:rPr>
                      <w:t>身份证（正面）</w:t>
                    </w:r>
                  </w:p>
                  <w:p>
                    <w:pPr>
                      <w:ind w:firstLine="1050" w:firstLineChars="500"/>
                    </w:pPr>
                  </w:p>
                </w:txbxContent>
              </v:textbox>
            </v:rect>
            <v:rect id="矩形 1031" o:spid="_x0000_s1032" o:spt="1" style="position:absolute;left:5719;top:7566;height:2609;width:4144;" o:preferrelative="t" coordsize="21600,21600">
              <v:path/>
              <v:fill focussize="0,0"/>
              <v:stroke miterlimit="2"/>
              <v:imagedata o:title=""/>
              <o:lock v:ext="edit"/>
              <v:textbox>
                <w:txbxContent>
                  <w:p>
                    <w:pPr>
                      <w:jc w:val="center"/>
                    </w:pPr>
                    <w:r>
                      <w:rPr>
                        <w:rFonts w:hint="eastAsia"/>
                      </w:rPr>
                      <w:t>身份证（反面）</w:t>
                    </w:r>
                  </w:p>
                  <w:p>
                    <w:pPr>
                      <w:ind w:firstLine="1050" w:firstLineChars="500"/>
                    </w:pPr>
                  </w:p>
                </w:txbxContent>
              </v:textbox>
            </v:rect>
          </v:group>
        </w:pict>
      </w:r>
    </w:p>
    <w:p>
      <w:pPr>
        <w:spacing w:line="500" w:lineRule="exact"/>
        <w:rPr>
          <w:rFonts w:ascii="宋体" w:hAnsi="宋体"/>
          <w:b/>
          <w:bCs/>
          <w:color w:val="000000"/>
          <w:szCs w:val="21"/>
        </w:rPr>
      </w:pPr>
    </w:p>
    <w:p>
      <w:pPr>
        <w:spacing w:line="500" w:lineRule="exact"/>
        <w:rPr>
          <w:rFonts w:ascii="宋体" w:hAnsi="宋体"/>
          <w:b/>
          <w:bCs/>
          <w:color w:val="000000"/>
          <w:szCs w:val="21"/>
        </w:rPr>
      </w:pPr>
    </w:p>
    <w:p>
      <w:pPr>
        <w:spacing w:line="500" w:lineRule="exact"/>
        <w:rPr>
          <w:rFonts w:ascii="宋体" w:hAnsi="宋体"/>
          <w:b/>
          <w:bCs/>
          <w:color w:val="000000"/>
        </w:rPr>
      </w:pPr>
    </w:p>
    <w:p>
      <w:pPr>
        <w:spacing w:line="500" w:lineRule="exact"/>
        <w:rPr>
          <w:rFonts w:ascii="宋体" w:hAnsi="宋体"/>
          <w:b/>
          <w:bCs/>
          <w:color w:val="000000"/>
        </w:rPr>
      </w:pPr>
    </w:p>
    <w:p>
      <w:pPr>
        <w:spacing w:line="500" w:lineRule="exact"/>
        <w:rPr>
          <w:rFonts w:ascii="宋体" w:hAnsi="宋体"/>
          <w:b/>
          <w:bCs/>
          <w:color w:val="000000"/>
        </w:rPr>
      </w:pPr>
    </w:p>
    <w:p>
      <w:pPr>
        <w:spacing w:line="500" w:lineRule="exact"/>
        <w:rPr>
          <w:rFonts w:ascii="宋体" w:hAnsi="宋体"/>
          <w:b/>
          <w:bCs/>
          <w:color w:val="000000"/>
        </w:rPr>
      </w:pPr>
    </w:p>
    <w:p>
      <w:pPr>
        <w:spacing w:line="500" w:lineRule="exact"/>
        <w:rPr>
          <w:rFonts w:ascii="宋体" w:hAnsi="宋体"/>
          <w:b/>
          <w:bCs/>
          <w:color w:val="000000"/>
        </w:rPr>
      </w:pPr>
      <w:r>
        <w:rPr>
          <w:rFonts w:hint="eastAsia" w:ascii="宋体" w:hAnsi="宋体"/>
          <w:b/>
          <w:bCs/>
          <w:color w:val="000000"/>
        </w:rPr>
        <w:t xml:space="preserve">                         </w:t>
      </w:r>
    </w:p>
    <w:p>
      <w:pPr>
        <w:spacing w:line="500" w:lineRule="exact"/>
        <w:rPr>
          <w:rFonts w:ascii="宋体" w:hAnsi="宋体"/>
          <w:color w:val="000000"/>
          <w:szCs w:val="21"/>
        </w:rPr>
      </w:pPr>
      <w:r>
        <w:rPr>
          <w:rFonts w:hint="eastAsia" w:ascii="宋体" w:hAnsi="宋体"/>
          <w:b/>
          <w:bCs/>
          <w:color w:val="000000"/>
        </w:rPr>
        <w:t xml:space="preserve">                                </w:t>
      </w:r>
      <w:r>
        <w:rPr>
          <w:rFonts w:hint="eastAsia" w:ascii="宋体" w:hAnsi="宋体"/>
          <w:b/>
          <w:bCs/>
          <w:color w:val="000000"/>
          <w:szCs w:val="21"/>
        </w:rPr>
        <w:t xml:space="preserve">            </w:t>
      </w:r>
      <w:r>
        <w:rPr>
          <w:rFonts w:hint="eastAsia" w:ascii="宋体" w:hAnsi="宋体"/>
          <w:color w:val="000000"/>
          <w:szCs w:val="21"/>
        </w:rPr>
        <w:t>供应商名称：（盖公章）：</w:t>
      </w:r>
    </w:p>
    <w:p>
      <w:pPr>
        <w:spacing w:line="500" w:lineRule="exact"/>
        <w:rPr>
          <w:rFonts w:ascii="宋体" w:hAnsi="宋体"/>
          <w:color w:val="000000"/>
          <w:szCs w:val="21"/>
        </w:rPr>
      </w:pPr>
      <w:r>
        <w:rPr>
          <w:rFonts w:hint="eastAsia" w:ascii="宋体" w:hAnsi="宋体"/>
          <w:color w:val="000000"/>
          <w:szCs w:val="21"/>
        </w:rPr>
        <w:t xml:space="preserve">                                           </w:t>
      </w:r>
      <w:r>
        <w:rPr>
          <w:rFonts w:ascii="宋体" w:hAnsi="宋体"/>
          <w:color w:val="000000"/>
          <w:szCs w:val="21"/>
        </w:rPr>
        <w:t xml:space="preserve"> </w:t>
      </w:r>
      <w:r>
        <w:rPr>
          <w:rFonts w:hint="eastAsia" w:ascii="宋体" w:hAnsi="宋体"/>
          <w:color w:val="000000"/>
          <w:szCs w:val="21"/>
        </w:rPr>
        <w:t>地址：</w:t>
      </w:r>
    </w:p>
    <w:p>
      <w:pPr>
        <w:spacing w:line="500" w:lineRule="exact"/>
        <w:rPr>
          <w:rFonts w:ascii="宋体" w:hAnsi="宋体"/>
          <w:b/>
          <w:bCs/>
          <w:color w:val="000000"/>
          <w:szCs w:val="21"/>
        </w:rPr>
      </w:pPr>
      <w:r>
        <w:rPr>
          <w:rFonts w:hint="eastAsia" w:ascii="宋体" w:hAnsi="宋体"/>
          <w:color w:val="000000"/>
          <w:szCs w:val="21"/>
        </w:rPr>
        <w:t xml:space="preserve">                                          </w:t>
      </w:r>
      <w:r>
        <w:rPr>
          <w:rFonts w:ascii="宋体" w:hAnsi="宋体"/>
          <w:color w:val="000000"/>
          <w:szCs w:val="21"/>
        </w:rPr>
        <w:t xml:space="preserve"> </w:t>
      </w:r>
      <w:r>
        <w:rPr>
          <w:rFonts w:hint="eastAsia" w:ascii="宋体" w:hAnsi="宋体"/>
          <w:color w:val="000000"/>
          <w:szCs w:val="21"/>
        </w:rPr>
        <w:t xml:space="preserve"> 日期：</w:t>
      </w:r>
    </w:p>
    <w:p>
      <w:pPr>
        <w:widowControl/>
        <w:jc w:val="left"/>
        <w:rPr>
          <w:rFonts w:ascii="宋体" w:hAnsi="宋体"/>
          <w:color w:val="000000"/>
          <w:szCs w:val="21"/>
        </w:rPr>
      </w:pPr>
      <w:r>
        <w:rPr>
          <w:rFonts w:ascii="宋体" w:hAnsi="宋体"/>
          <w:color w:val="000000"/>
        </w:rPr>
        <w:br w:type="page"/>
      </w:r>
    </w:p>
    <w:p>
      <w:pPr>
        <w:spacing w:line="360" w:lineRule="auto"/>
        <w:jc w:val="center"/>
        <w:rPr>
          <w:rFonts w:ascii="宋体" w:hAnsi="宋体"/>
          <w:b/>
          <w:color w:val="000000"/>
          <w:sz w:val="52"/>
          <w:szCs w:val="52"/>
        </w:rPr>
      </w:pPr>
      <w:r>
        <w:rPr>
          <w:rFonts w:hint="eastAsia" w:ascii="宋体" w:hAnsi="宋体"/>
          <w:b/>
          <w:color w:val="000000"/>
          <w:sz w:val="52"/>
          <w:szCs w:val="52"/>
        </w:rPr>
        <w:t>合</w:t>
      </w:r>
    </w:p>
    <w:p>
      <w:pPr>
        <w:pStyle w:val="9"/>
        <w:jc w:val="center"/>
        <w:rPr>
          <w:rFonts w:ascii="宋体" w:hAnsi="宋体"/>
          <w:color w:val="000000"/>
          <w:sz w:val="52"/>
          <w:szCs w:val="52"/>
        </w:rPr>
      </w:pPr>
      <w:r>
        <w:rPr>
          <w:rFonts w:hint="eastAsia" w:ascii="宋体" w:hAnsi="宋体"/>
          <w:color w:val="000000"/>
          <w:sz w:val="52"/>
          <w:szCs w:val="52"/>
        </w:rPr>
        <w:t xml:space="preserve"> </w:t>
      </w:r>
    </w:p>
    <w:p>
      <w:pPr>
        <w:pStyle w:val="9"/>
        <w:jc w:val="center"/>
        <w:rPr>
          <w:rFonts w:ascii="宋体" w:hAnsi="宋体"/>
          <w:color w:val="000000"/>
          <w:sz w:val="52"/>
          <w:szCs w:val="52"/>
        </w:rPr>
      </w:pPr>
      <w:r>
        <w:rPr>
          <w:rFonts w:hint="eastAsia" w:ascii="宋体" w:hAnsi="宋体"/>
          <w:color w:val="000000"/>
          <w:sz w:val="52"/>
          <w:szCs w:val="52"/>
        </w:rPr>
        <w:t>同</w:t>
      </w:r>
    </w:p>
    <w:p>
      <w:pPr>
        <w:pStyle w:val="9"/>
        <w:jc w:val="center"/>
        <w:rPr>
          <w:rFonts w:ascii="宋体" w:hAnsi="宋体"/>
          <w:color w:val="000000"/>
          <w:sz w:val="52"/>
          <w:szCs w:val="52"/>
        </w:rPr>
      </w:pPr>
      <w:r>
        <w:rPr>
          <w:rFonts w:hint="eastAsia" w:ascii="宋体" w:hAnsi="宋体"/>
          <w:color w:val="000000"/>
          <w:sz w:val="52"/>
          <w:szCs w:val="52"/>
        </w:rPr>
        <w:t xml:space="preserve"> </w:t>
      </w:r>
    </w:p>
    <w:p>
      <w:pPr>
        <w:pStyle w:val="9"/>
        <w:jc w:val="center"/>
        <w:rPr>
          <w:rFonts w:ascii="宋体" w:hAnsi="宋体"/>
          <w:color w:val="000000"/>
          <w:sz w:val="52"/>
          <w:szCs w:val="52"/>
        </w:rPr>
      </w:pPr>
      <w:r>
        <w:rPr>
          <w:rFonts w:hint="eastAsia" w:ascii="宋体" w:hAnsi="宋体"/>
          <w:color w:val="000000"/>
          <w:sz w:val="52"/>
          <w:szCs w:val="52"/>
        </w:rPr>
        <w:t>书</w:t>
      </w:r>
    </w:p>
    <w:p>
      <w:pPr>
        <w:pStyle w:val="9"/>
        <w:jc w:val="center"/>
        <w:rPr>
          <w:rFonts w:ascii="宋体" w:hAnsi="宋体"/>
          <w:color w:val="000000"/>
          <w:sz w:val="52"/>
          <w:szCs w:val="52"/>
        </w:rPr>
      </w:pPr>
      <w:r>
        <w:rPr>
          <w:rFonts w:hint="eastAsia" w:ascii="宋体" w:hAnsi="宋体"/>
          <w:color w:val="000000"/>
          <w:sz w:val="52"/>
          <w:szCs w:val="52"/>
        </w:rPr>
        <w:t xml:space="preserve"> </w:t>
      </w:r>
    </w:p>
    <w:p>
      <w:pPr>
        <w:pStyle w:val="9"/>
        <w:ind w:firstLine="321" w:firstLineChars="100"/>
        <w:rPr>
          <w:rFonts w:ascii="宋体" w:hAnsi="宋体"/>
          <w:b/>
          <w:color w:val="000000"/>
          <w:sz w:val="32"/>
          <w:szCs w:val="32"/>
        </w:rPr>
      </w:pPr>
      <w:r>
        <w:rPr>
          <w:rFonts w:hint="eastAsia" w:ascii="宋体" w:hAnsi="宋体"/>
          <w:b/>
          <w:color w:val="000000"/>
          <w:sz w:val="32"/>
          <w:szCs w:val="32"/>
        </w:rPr>
        <w:t>项目名称：广东省阳春监狱2024年度办公耗材采购项目</w:t>
      </w:r>
    </w:p>
    <w:p>
      <w:pPr>
        <w:pStyle w:val="9"/>
        <w:ind w:firstLine="321" w:firstLineChars="100"/>
        <w:rPr>
          <w:rFonts w:ascii="宋体" w:hAnsi="宋体"/>
          <w:b/>
          <w:color w:val="000000"/>
          <w:sz w:val="32"/>
          <w:szCs w:val="32"/>
        </w:rPr>
      </w:pPr>
      <w:r>
        <w:rPr>
          <w:rFonts w:hint="eastAsia" w:ascii="宋体" w:hAnsi="宋体"/>
          <w:b/>
          <w:color w:val="000000"/>
          <w:sz w:val="32"/>
          <w:szCs w:val="32"/>
        </w:rPr>
        <w:t>合同编号：</w:t>
      </w:r>
    </w:p>
    <w:p>
      <w:pPr>
        <w:ind w:firstLine="321" w:firstLineChars="100"/>
        <w:outlineLvl w:val="0"/>
        <w:rPr>
          <w:rFonts w:ascii="宋体" w:hAnsi="宋体"/>
          <w:b/>
          <w:bCs/>
          <w:color w:val="000000"/>
          <w:kern w:val="0"/>
          <w:sz w:val="32"/>
          <w:szCs w:val="32"/>
        </w:rPr>
      </w:pPr>
      <w:r>
        <w:rPr>
          <w:rFonts w:hint="eastAsia" w:ascii="宋体" w:hAnsi="宋体"/>
          <w:b/>
          <w:color w:val="000000"/>
          <w:sz w:val="32"/>
          <w:szCs w:val="32"/>
        </w:rPr>
        <w:t>签约地点：广东省松柏镇阳春监狱一号大院</w:t>
      </w:r>
    </w:p>
    <w:p>
      <w:pPr>
        <w:rPr>
          <w:rFonts w:ascii="宋体" w:hAnsi="宋体"/>
          <w:szCs w:val="21"/>
        </w:rPr>
      </w:pPr>
      <w:r>
        <w:rPr>
          <w:rFonts w:hint="eastAsia" w:ascii="宋体" w:hAnsi="宋体"/>
        </w:rPr>
        <w:t xml:space="preserve"> </w:t>
      </w:r>
    </w:p>
    <w:p>
      <w:pPr>
        <w:rPr>
          <w:rFonts w:ascii="宋体" w:hAnsi="宋体"/>
        </w:rPr>
      </w:pPr>
      <w:r>
        <w:rPr>
          <w:rFonts w:hint="eastAsia" w:ascii="宋体" w:hAnsi="宋体"/>
        </w:rPr>
        <w:t xml:space="preserve"> </w:t>
      </w:r>
    </w:p>
    <w:p>
      <w:pPr>
        <w:rPr>
          <w:rFonts w:ascii="宋体" w:hAnsi="宋体"/>
        </w:rPr>
      </w:pPr>
      <w:r>
        <w:rPr>
          <w:rFonts w:hint="eastAsia" w:ascii="宋体" w:hAnsi="宋体"/>
        </w:rPr>
        <w:t xml:space="preserve"> </w:t>
      </w:r>
    </w:p>
    <w:p>
      <w:pPr>
        <w:rPr>
          <w:rFonts w:ascii="宋体" w:hAnsi="宋体"/>
        </w:rPr>
      </w:pPr>
      <w:r>
        <w:rPr>
          <w:rFonts w:hint="eastAsia" w:ascii="宋体" w:hAnsi="宋体"/>
        </w:rPr>
        <w:t xml:space="preserve"> </w:t>
      </w:r>
    </w:p>
    <w:p>
      <w:pPr>
        <w:rPr>
          <w:rFonts w:ascii="宋体" w:hAnsi="宋体"/>
        </w:rPr>
      </w:pPr>
      <w:r>
        <w:rPr>
          <w:rFonts w:hint="eastAsia" w:ascii="宋体" w:hAnsi="宋体"/>
        </w:rPr>
        <w:t xml:space="preserve"> </w:t>
      </w:r>
    </w:p>
    <w:p>
      <w:pPr>
        <w:rPr>
          <w:rFonts w:ascii="宋体" w:hAnsi="宋体"/>
        </w:rPr>
      </w:pPr>
      <w:r>
        <w:rPr>
          <w:rFonts w:hint="eastAsia" w:ascii="宋体" w:hAnsi="宋体"/>
        </w:rPr>
        <w:t xml:space="preserve"> </w:t>
      </w:r>
    </w:p>
    <w:p>
      <w:pPr>
        <w:rPr>
          <w:rFonts w:ascii="宋体" w:hAnsi="宋体"/>
        </w:rPr>
      </w:pPr>
      <w:r>
        <w:rPr>
          <w:rFonts w:hint="eastAsia" w:ascii="宋体" w:hAnsi="宋体"/>
        </w:rPr>
        <w:t xml:space="preserve"> </w:t>
      </w:r>
    </w:p>
    <w:p>
      <w:pPr>
        <w:rPr>
          <w:rFonts w:ascii="宋体" w:hAnsi="宋体"/>
        </w:rPr>
      </w:pPr>
      <w:r>
        <w:rPr>
          <w:rFonts w:hint="eastAsia" w:ascii="宋体" w:hAnsi="宋体"/>
        </w:rPr>
        <w:t xml:space="preserve"> </w:t>
      </w:r>
    </w:p>
    <w:p>
      <w:pPr>
        <w:rPr>
          <w:rFonts w:ascii="宋体" w:hAnsi="宋体"/>
        </w:rPr>
      </w:pPr>
      <w:r>
        <w:rPr>
          <w:rFonts w:hint="eastAsia" w:ascii="宋体" w:hAnsi="宋体"/>
        </w:rPr>
        <w:t xml:space="preserve"> </w:t>
      </w:r>
    </w:p>
    <w:p>
      <w:pPr>
        <w:rPr>
          <w:rFonts w:ascii="宋体" w:hAnsi="宋体"/>
        </w:rPr>
      </w:pPr>
      <w:r>
        <w:rPr>
          <w:rFonts w:hint="eastAsia" w:ascii="宋体" w:hAnsi="宋体"/>
        </w:rPr>
        <w:t xml:space="preserve"> </w:t>
      </w:r>
    </w:p>
    <w:p>
      <w:pPr>
        <w:rPr>
          <w:rFonts w:ascii="宋体" w:hAnsi="宋体"/>
        </w:rPr>
      </w:pPr>
      <w:r>
        <w:rPr>
          <w:rFonts w:hint="eastAsia" w:ascii="宋体" w:hAnsi="宋体"/>
        </w:rPr>
        <w:t xml:space="preserve"> </w:t>
      </w:r>
    </w:p>
    <w:p>
      <w:pPr>
        <w:rPr>
          <w:rFonts w:ascii="宋体" w:hAnsi="宋体"/>
        </w:rPr>
      </w:pPr>
      <w:r>
        <w:rPr>
          <w:rFonts w:hint="eastAsia" w:ascii="宋体" w:hAnsi="宋体"/>
        </w:rPr>
        <w:br w:type="page"/>
      </w:r>
      <w:r>
        <w:rPr>
          <w:rFonts w:hint="eastAsia" w:ascii="宋体" w:hAnsi="宋体"/>
        </w:rPr>
        <w:t>甲    方（甲方）：</w:t>
      </w:r>
      <w:r>
        <w:rPr>
          <w:rFonts w:hint="eastAsia" w:ascii="宋体" w:hAnsi="宋体"/>
          <w:u w:val="single"/>
        </w:rPr>
        <w:t xml:space="preserve"> </w:t>
      </w:r>
      <w:r>
        <w:rPr>
          <w:rFonts w:hint="eastAsia" w:ascii="宋体" w:hAnsi="宋体"/>
          <w:b/>
          <w:color w:val="000000"/>
          <w:u w:val="single"/>
        </w:rPr>
        <w:t>广东省阳春监狱</w:t>
      </w:r>
      <w:r>
        <w:rPr>
          <w:rFonts w:hint="eastAsia" w:ascii="宋体" w:hAnsi="宋体"/>
          <w:u w:val="single"/>
        </w:rPr>
        <w:t xml:space="preserve">        </w:t>
      </w:r>
    </w:p>
    <w:p>
      <w:pPr>
        <w:spacing w:line="360" w:lineRule="auto"/>
        <w:rPr>
          <w:rFonts w:ascii="宋体" w:hAnsi="宋体"/>
          <w:color w:val="000000"/>
        </w:rPr>
      </w:pPr>
      <w:r>
        <w:rPr>
          <w:rFonts w:hint="eastAsia" w:ascii="宋体" w:hAnsi="宋体"/>
          <w:color w:val="000000"/>
        </w:rPr>
        <w:t>电    话：                传  真：           地  址：</w:t>
      </w:r>
    </w:p>
    <w:p>
      <w:pPr>
        <w:spacing w:line="360" w:lineRule="auto"/>
        <w:rPr>
          <w:rFonts w:ascii="宋体" w:hAnsi="宋体"/>
          <w:color w:val="000000"/>
        </w:rPr>
      </w:pPr>
      <w:r>
        <w:rPr>
          <w:rFonts w:hint="eastAsia" w:ascii="宋体" w:hAnsi="宋体"/>
          <w:b/>
          <w:color w:val="000000"/>
        </w:rPr>
        <w:br w:type="textWrapping"/>
      </w:r>
      <w:r>
        <w:rPr>
          <w:rFonts w:hint="eastAsia" w:ascii="宋体" w:hAnsi="宋体"/>
          <w:b/>
          <w:color w:val="000000"/>
        </w:rPr>
        <w:t>乙    方</w:t>
      </w:r>
      <w:r>
        <w:rPr>
          <w:rFonts w:hint="eastAsia" w:ascii="宋体" w:hAnsi="宋体"/>
          <w:color w:val="000000"/>
        </w:rPr>
        <w:t>（成交供应商）</w:t>
      </w:r>
      <w:r>
        <w:rPr>
          <w:rFonts w:hint="eastAsia" w:ascii="宋体" w:hAnsi="宋体"/>
          <w:b/>
          <w:color w:val="000000"/>
        </w:rPr>
        <w:t>：</w:t>
      </w:r>
      <w:r>
        <w:rPr>
          <w:rFonts w:hint="eastAsia" w:ascii="宋体" w:hAnsi="宋体"/>
          <w:b/>
          <w:color w:val="000000"/>
          <w:u w:val="single"/>
        </w:rPr>
        <w:t xml:space="preserve">                       </w:t>
      </w:r>
      <w:r>
        <w:rPr>
          <w:rFonts w:hint="eastAsia" w:ascii="宋体" w:hAnsi="宋体"/>
          <w:b/>
          <w:color w:val="000000"/>
        </w:rPr>
        <w:br w:type="textWrapping"/>
      </w:r>
      <w:r>
        <w:rPr>
          <w:rFonts w:hint="eastAsia" w:ascii="宋体" w:hAnsi="宋体"/>
          <w:color w:val="000000"/>
        </w:rPr>
        <w:t>电    话：                传  真：           地  址：</w:t>
      </w:r>
    </w:p>
    <w:p>
      <w:pPr>
        <w:pStyle w:val="2"/>
        <w:rPr>
          <w:rFonts w:ascii="宋体" w:hAnsi="宋体"/>
        </w:rPr>
      </w:pPr>
      <w:r>
        <w:rPr>
          <w:rFonts w:hint="eastAsia" w:ascii="宋体" w:hAnsi="宋体"/>
        </w:rPr>
        <w:t xml:space="preserve"> </w:t>
      </w:r>
    </w:p>
    <w:p>
      <w:pPr>
        <w:autoSpaceDE w:val="0"/>
        <w:snapToGrid w:val="0"/>
        <w:spacing w:line="540" w:lineRule="exact"/>
        <w:ind w:firstLine="420" w:firstLineChars="200"/>
        <w:outlineLvl w:val="0"/>
        <w:rPr>
          <w:rFonts w:ascii="宋体" w:hAnsi="宋体"/>
        </w:rPr>
      </w:pPr>
      <w:r>
        <w:rPr>
          <w:rFonts w:hint="eastAsia" w:ascii="宋体" w:hAnsi="宋体"/>
        </w:rPr>
        <w:t xml:space="preserve">甲乙双方根据《中华人民共和国民法典》和《中华人民共和国政府采购法》等有关法律法规的规定， </w:t>
      </w:r>
      <w:r>
        <w:rPr>
          <w:rFonts w:hint="eastAsia" w:ascii="宋体" w:hAnsi="宋体"/>
          <w:bCs/>
          <w:color w:val="000000"/>
        </w:rPr>
        <w:t>广东省阳春监狱2024年度办公耗材采购项目</w:t>
      </w:r>
      <w:r>
        <w:rPr>
          <w:rFonts w:hint="eastAsia" w:ascii="宋体" w:hAnsi="宋体"/>
        </w:rPr>
        <w:t>（采购编号：</w:t>
      </w:r>
      <w:r>
        <w:rPr>
          <w:rFonts w:hint="eastAsia" w:ascii="宋体" w:hAnsi="宋体"/>
          <w:color w:val="333333"/>
          <w:shd w:val="clear" w:color="auto" w:fill="FFFFFF"/>
        </w:rPr>
        <w:t xml:space="preserve"> </w:t>
      </w:r>
      <w:r>
        <w:rPr>
          <w:rFonts w:hint="eastAsia" w:ascii="宋体" w:hAnsi="宋体"/>
          <w:color w:val="000000"/>
          <w:shd w:val="clear" w:color="auto" w:fill="FFFFFF"/>
        </w:rPr>
        <w:t xml:space="preserve"> </w:t>
      </w:r>
      <w:r>
        <w:rPr>
          <w:rFonts w:hint="eastAsia" w:ascii="宋体" w:hAnsi="宋体"/>
        </w:rPr>
        <w:t>）的竞价结果，经双方协商一致，订立合同如下：</w:t>
      </w:r>
    </w:p>
    <w:p>
      <w:pPr>
        <w:numPr>
          <w:ilvl w:val="0"/>
          <w:numId w:val="22"/>
        </w:numPr>
        <w:autoSpaceDE w:val="0"/>
        <w:spacing w:line="540" w:lineRule="exact"/>
        <w:ind w:left="0"/>
        <w:jc w:val="left"/>
        <w:rPr>
          <w:rFonts w:ascii="宋体" w:hAnsi="宋体"/>
          <w:bCs/>
          <w:color w:val="000000"/>
        </w:rPr>
      </w:pPr>
      <w:r>
        <w:rPr>
          <w:rFonts w:hint="eastAsia" w:ascii="宋体" w:hAnsi="宋体"/>
          <w:b/>
          <w:bCs/>
        </w:rPr>
        <w:t>合同项目：</w:t>
      </w:r>
      <w:r>
        <w:rPr>
          <w:rFonts w:hint="eastAsia" w:ascii="宋体" w:hAnsi="宋体"/>
        </w:rPr>
        <w:t xml:space="preserve">                                                                                       </w:t>
      </w:r>
      <w:r>
        <w:rPr>
          <w:rFonts w:hint="eastAsia" w:ascii="宋体" w:hAnsi="宋体"/>
          <w:bCs/>
        </w:rPr>
        <w:t xml:space="preserve">                                                                                                                                                                                     </w:t>
      </w:r>
      <w:r>
        <w:rPr>
          <w:rFonts w:hint="eastAsia" w:ascii="宋体" w:hAnsi="宋体"/>
          <w:bCs/>
          <w:color w:val="000000"/>
        </w:rPr>
        <w:t xml:space="preserve">                       </w:t>
      </w:r>
    </w:p>
    <w:p>
      <w:pPr>
        <w:autoSpaceDE w:val="0"/>
        <w:spacing w:line="540" w:lineRule="exact"/>
        <w:ind w:firstLine="420" w:firstLineChars="200"/>
        <w:jc w:val="left"/>
        <w:rPr>
          <w:rFonts w:ascii="宋体" w:hAnsi="宋体"/>
        </w:rPr>
      </w:pPr>
      <w:r>
        <w:rPr>
          <w:rFonts w:hint="eastAsia" w:ascii="宋体" w:hAnsi="宋体"/>
          <w:bCs/>
          <w:color w:val="000000"/>
        </w:rPr>
        <w:t>本合同采用，分期灵活供货，分期付款的方式按中标单价供货及结算，</w:t>
      </w:r>
      <w:r>
        <w:rPr>
          <w:rFonts w:hint="eastAsia" w:ascii="宋体" w:hAnsi="宋体"/>
          <w:bCs/>
        </w:rPr>
        <w:t>中标价包含产品价格、运输、装卸、售后服务、保险、搬运费、税金等一切费用，</w:t>
      </w:r>
      <w:r>
        <w:rPr>
          <w:rFonts w:hint="eastAsia" w:ascii="宋体" w:hAnsi="宋体"/>
          <w:bCs/>
          <w:color w:val="000000"/>
        </w:rPr>
        <w:t>累计采购总金额不超18万。</w:t>
      </w:r>
    </w:p>
    <w:p>
      <w:pPr>
        <w:autoSpaceDE w:val="0"/>
        <w:spacing w:line="540" w:lineRule="exact"/>
        <w:ind w:firstLine="420" w:firstLineChars="200"/>
        <w:rPr>
          <w:rFonts w:ascii="宋体" w:hAnsi="宋体"/>
        </w:rPr>
      </w:pPr>
      <w:r>
        <w:rPr>
          <w:rFonts w:hint="eastAsia" w:ascii="宋体" w:hAnsi="宋体"/>
        </w:rPr>
        <w:t>乙方负责向甲方供应下表中所列的耗材，耗材单价按中标价格计算，如若甲方有在新增的型号</w:t>
      </w:r>
      <w:r>
        <w:rPr>
          <w:rFonts w:hint="eastAsia" w:ascii="宋体" w:hAnsi="宋体"/>
          <w:bCs/>
        </w:rPr>
        <w:t>，采购清单以外的货物，最高限价参照</w:t>
      </w:r>
      <w:r>
        <w:rPr>
          <w:rFonts w:hint="eastAsia" w:ascii="宋体" w:hAnsi="宋体"/>
        </w:rPr>
        <w:t>京东旗舰店单价，</w:t>
      </w:r>
      <w:r>
        <w:rPr>
          <w:rFonts w:hint="eastAsia" w:ascii="宋体" w:hAnsi="宋体"/>
          <w:color w:val="000000"/>
        </w:rPr>
        <w:t>结算金额为∑（各项产品最高限价*（1-成交下浮率）*数量）</w:t>
      </w:r>
      <w:r>
        <w:rPr>
          <w:rFonts w:hint="eastAsia" w:ascii="宋体" w:hAnsi="宋体"/>
        </w:rPr>
        <w:t>。</w:t>
      </w:r>
    </w:p>
    <w:p>
      <w:pPr>
        <w:autoSpaceDE w:val="0"/>
        <w:autoSpaceDN w:val="0"/>
        <w:adjustRightInd w:val="0"/>
        <w:spacing w:line="360" w:lineRule="auto"/>
        <w:jc w:val="left"/>
        <w:rPr>
          <w:rFonts w:ascii="宋体" w:hAnsi="宋体"/>
          <w:b/>
          <w:color w:val="000000"/>
        </w:rPr>
      </w:pPr>
      <w:r>
        <w:rPr>
          <w:rFonts w:hint="eastAsia" w:ascii="宋体" w:hAnsi="宋体"/>
          <w:b/>
          <w:color w:val="000000"/>
        </w:rPr>
        <w:t>二、采购标的及标准</w:t>
      </w:r>
      <w:r>
        <w:rPr>
          <w:rFonts w:hint="eastAsia" w:ascii="宋体" w:hAnsi="宋体"/>
          <w:b/>
          <w:color w:val="000000"/>
        </w:rPr>
        <w:br w:type="textWrapping"/>
      </w:r>
      <w:r>
        <w:rPr>
          <w:rFonts w:hint="eastAsia" w:ascii="宋体" w:hAnsi="宋体"/>
          <w:b/>
          <w:color w:val="000000"/>
        </w:rPr>
        <w:t>附件1：采购清单（格之格）</w:t>
      </w:r>
      <w:r>
        <w:rPr>
          <w:rFonts w:hint="eastAsia" w:ascii="宋体" w:hAnsi="宋体"/>
          <w:b/>
          <w:color w:val="000000"/>
        </w:rPr>
        <w:br w:type="textWrapping"/>
      </w:r>
      <w:r>
        <w:rPr>
          <w:rFonts w:hint="eastAsia" w:ascii="宋体" w:hAnsi="宋体"/>
          <w:b/>
        </w:rPr>
        <w:t>附件2：采购清单（原装）</w:t>
      </w:r>
    </w:p>
    <w:p>
      <w:pPr>
        <w:autoSpaceDE w:val="0"/>
        <w:autoSpaceDN w:val="0"/>
        <w:adjustRightInd w:val="0"/>
        <w:spacing w:line="360" w:lineRule="auto"/>
        <w:jc w:val="left"/>
        <w:rPr>
          <w:rFonts w:ascii="宋体" w:hAnsi="宋体"/>
        </w:rPr>
      </w:pPr>
      <w:r>
        <w:rPr>
          <w:rFonts w:hint="eastAsia" w:ascii="宋体" w:hAnsi="宋体"/>
          <w:b/>
        </w:rPr>
        <w:t>三、甲方乙方的权利和义务</w:t>
      </w:r>
      <w:r>
        <w:rPr>
          <w:rFonts w:hint="eastAsia" w:ascii="宋体" w:hAnsi="宋体"/>
        </w:rPr>
        <w:br w:type="textWrapping"/>
      </w:r>
      <w:r>
        <w:rPr>
          <w:rFonts w:hint="eastAsia" w:ascii="宋体" w:hAnsi="宋体"/>
          <w:spacing w:val="2"/>
        </w:rPr>
        <w:t>1.乙方应严格按甲方要求(品牌、品种、规格、质量、数量、重量等)供应货物，未经甲方</w:t>
      </w:r>
      <w:r>
        <w:rPr>
          <w:rFonts w:hint="eastAsia" w:ascii="宋体" w:hAnsi="宋体"/>
          <w:spacing w:val="15"/>
        </w:rPr>
        <w:t xml:space="preserve"> </w:t>
      </w:r>
      <w:r>
        <w:rPr>
          <w:rFonts w:hint="eastAsia" w:ascii="宋体" w:hAnsi="宋体"/>
          <w:spacing w:val="-2"/>
        </w:rPr>
        <w:t>同意，不得变更，否则，甲方有权退货并自行采</w:t>
      </w:r>
      <w:r>
        <w:rPr>
          <w:rFonts w:hint="eastAsia" w:ascii="宋体" w:hAnsi="宋体"/>
          <w:spacing w:val="-3"/>
        </w:rPr>
        <w:t>购同等质量的货物，由此产生的费用和</w:t>
      </w:r>
    </w:p>
    <w:p>
      <w:pPr>
        <w:spacing w:line="360" w:lineRule="auto"/>
        <w:rPr>
          <w:rFonts w:ascii="宋体" w:hAnsi="宋体"/>
        </w:rPr>
      </w:pPr>
      <w:r>
        <w:rPr>
          <w:rFonts w:hint="eastAsia" w:ascii="宋体" w:hAnsi="宋体"/>
          <w:spacing w:val="-1"/>
        </w:rPr>
        <w:t>经济损失均由乙方承担，乙方还同时承担违约责任。</w:t>
      </w:r>
      <w:r>
        <w:rPr>
          <w:rFonts w:hint="eastAsia" w:ascii="宋体" w:hAnsi="宋体"/>
        </w:rPr>
        <w:br w:type="textWrapping"/>
      </w:r>
      <w:r>
        <w:rPr>
          <w:rFonts w:hint="eastAsia" w:ascii="宋体" w:hAnsi="宋体"/>
          <w:spacing w:val="-5"/>
          <w:position w:val="20"/>
        </w:rPr>
        <w:t>2.甲方对不符合要求的货物，乙方必须无条件退货或更换。因乙方供应不合格的、假冒伪劣、</w:t>
      </w:r>
    </w:p>
    <w:p>
      <w:pPr>
        <w:spacing w:line="360" w:lineRule="auto"/>
        <w:rPr>
          <w:rFonts w:ascii="宋体" w:hAnsi="宋体"/>
          <w:color w:val="000000"/>
        </w:rPr>
      </w:pPr>
      <w:r>
        <w:rPr>
          <w:rFonts w:hint="eastAsia" w:ascii="宋体" w:hAnsi="宋体"/>
          <w:spacing w:val="-1"/>
        </w:rPr>
        <w:t>以次充好的商品而造成甲方安全事故的，马上终止合同并追究相关法律责任。</w:t>
      </w:r>
    </w:p>
    <w:p>
      <w:pPr>
        <w:autoSpaceDE w:val="0"/>
        <w:autoSpaceDN w:val="0"/>
        <w:adjustRightInd w:val="0"/>
        <w:spacing w:line="360" w:lineRule="auto"/>
        <w:jc w:val="left"/>
        <w:rPr>
          <w:rFonts w:ascii="宋体" w:hAnsi="宋体"/>
          <w:b/>
          <w:color w:val="000000"/>
        </w:rPr>
      </w:pPr>
      <w:r>
        <w:rPr>
          <w:rFonts w:hint="eastAsia" w:ascii="宋体" w:hAnsi="宋体"/>
          <w:b/>
          <w:color w:val="000000"/>
        </w:rPr>
        <w:t>四、服务期间（项目完成期限）</w:t>
      </w:r>
    </w:p>
    <w:p>
      <w:pPr>
        <w:spacing w:line="360" w:lineRule="auto"/>
        <w:rPr>
          <w:rFonts w:ascii="宋体" w:hAnsi="宋体"/>
          <w:color w:val="000000"/>
        </w:rPr>
      </w:pPr>
      <w:r>
        <w:rPr>
          <w:rFonts w:hint="eastAsia" w:ascii="宋体" w:hAnsi="宋体"/>
          <w:color w:val="000000"/>
        </w:rPr>
        <w:t>委托服务期间自</w:t>
      </w:r>
      <w:r>
        <w:rPr>
          <w:rFonts w:hint="eastAsia" w:ascii="宋体" w:hAnsi="宋体"/>
          <w:color w:val="000000"/>
          <w:u w:val="single"/>
        </w:rPr>
        <w:t>2024</w:t>
      </w:r>
      <w:r>
        <w:rPr>
          <w:rFonts w:hint="eastAsia" w:ascii="宋体" w:hAnsi="宋体"/>
          <w:color w:val="000000"/>
        </w:rPr>
        <w:t xml:space="preserve">年 </w:t>
      </w:r>
      <w:r>
        <w:rPr>
          <w:rFonts w:hint="eastAsia" w:ascii="宋体" w:hAnsi="宋体"/>
          <w:color w:val="000000"/>
          <w:u w:val="single"/>
        </w:rPr>
        <w:t>1</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rPr>
        <w:t>至</w:t>
      </w:r>
      <w:r>
        <w:rPr>
          <w:rFonts w:hint="eastAsia" w:ascii="宋体" w:hAnsi="宋体"/>
          <w:color w:val="000000"/>
          <w:u w:val="single"/>
        </w:rPr>
        <w:t xml:space="preserve">2024 </w:t>
      </w:r>
      <w:r>
        <w:rPr>
          <w:rFonts w:hint="eastAsia" w:ascii="宋体" w:hAnsi="宋体"/>
          <w:color w:val="000000"/>
        </w:rPr>
        <w:t>年</w:t>
      </w:r>
      <w:r>
        <w:rPr>
          <w:rFonts w:hint="eastAsia" w:ascii="宋体" w:hAnsi="宋体"/>
          <w:color w:val="000000"/>
          <w:u w:val="single"/>
        </w:rPr>
        <w:t>12</w:t>
      </w:r>
      <w:r>
        <w:rPr>
          <w:rFonts w:hint="eastAsia" w:ascii="宋体" w:hAnsi="宋体"/>
          <w:color w:val="000000"/>
        </w:rPr>
        <w:t>月</w:t>
      </w:r>
      <w:r>
        <w:rPr>
          <w:rFonts w:hint="eastAsia" w:ascii="宋体" w:hAnsi="宋体"/>
          <w:color w:val="000000"/>
          <w:u w:val="single"/>
        </w:rPr>
        <w:t>31</w:t>
      </w:r>
      <w:r>
        <w:rPr>
          <w:rFonts w:hint="eastAsia" w:ascii="宋体" w:hAnsi="宋体"/>
          <w:color w:val="000000"/>
        </w:rPr>
        <w:t>止。或达到采购预算金额为止。</w:t>
      </w:r>
    </w:p>
    <w:p>
      <w:pPr>
        <w:autoSpaceDE w:val="0"/>
        <w:autoSpaceDN w:val="0"/>
        <w:adjustRightInd w:val="0"/>
        <w:spacing w:line="360" w:lineRule="auto"/>
        <w:jc w:val="left"/>
        <w:rPr>
          <w:rFonts w:ascii="宋体" w:hAnsi="宋体"/>
          <w:b/>
          <w:color w:val="000000"/>
        </w:rPr>
      </w:pPr>
      <w:r>
        <w:rPr>
          <w:rFonts w:hint="eastAsia" w:ascii="宋体" w:hAnsi="宋体"/>
          <w:b/>
          <w:color w:val="000000"/>
        </w:rPr>
        <w:t>五、付款方式</w:t>
      </w:r>
    </w:p>
    <w:p>
      <w:pPr>
        <w:snapToGrid w:val="0"/>
        <w:spacing w:line="360" w:lineRule="auto"/>
        <w:jc w:val="left"/>
        <w:rPr>
          <w:rFonts w:ascii="宋体" w:hAnsi="宋体"/>
          <w:color w:val="000000"/>
        </w:rPr>
      </w:pPr>
      <w:r>
        <w:rPr>
          <w:rFonts w:hint="eastAsia" w:ascii="宋体" w:hAnsi="宋体"/>
          <w:color w:val="000000"/>
        </w:rPr>
        <w:t xml:space="preserve">由甲方按下列程序付款： </w:t>
      </w:r>
    </w:p>
    <w:p>
      <w:pPr>
        <w:autoSpaceDE w:val="0"/>
        <w:autoSpaceDN w:val="0"/>
        <w:adjustRightInd w:val="0"/>
        <w:snapToGrid w:val="0"/>
        <w:spacing w:line="360" w:lineRule="auto"/>
        <w:rPr>
          <w:rFonts w:ascii="宋体" w:hAnsi="宋体"/>
          <w:color w:val="000000"/>
        </w:rPr>
      </w:pPr>
      <w:r>
        <w:rPr>
          <w:rFonts w:hint="eastAsia" w:ascii="宋体" w:hAnsi="宋体"/>
          <w:color w:val="000000"/>
        </w:rPr>
        <w:t>合同期为1年，每季度按实际采购量结算，结算金额为∑（各项产品最高限价*（1-成交下浮率）*数量）。</w:t>
      </w:r>
    </w:p>
    <w:p>
      <w:pPr>
        <w:autoSpaceDE w:val="0"/>
        <w:autoSpaceDN w:val="0"/>
        <w:adjustRightInd w:val="0"/>
        <w:snapToGrid w:val="0"/>
        <w:spacing w:line="360" w:lineRule="auto"/>
        <w:jc w:val="left"/>
        <w:rPr>
          <w:rFonts w:ascii="宋体" w:hAnsi="宋体"/>
          <w:color w:val="000000"/>
          <w:kern w:val="21"/>
        </w:rPr>
      </w:pPr>
      <w:r>
        <w:rPr>
          <w:rFonts w:hint="eastAsia" w:ascii="宋体" w:hAnsi="宋体"/>
          <w:color w:val="000000"/>
          <w:kern w:val="21"/>
        </w:rPr>
        <w:t>乙方凭以下有效文件与甲方结算：</w:t>
      </w:r>
    </w:p>
    <w:p>
      <w:pPr>
        <w:snapToGrid w:val="0"/>
        <w:spacing w:line="360" w:lineRule="auto"/>
        <w:ind w:left="424" w:leftChars="202" w:firstLine="315" w:firstLineChars="150"/>
        <w:rPr>
          <w:rFonts w:ascii="宋体" w:hAnsi="宋体"/>
          <w:color w:val="000000"/>
        </w:rPr>
      </w:pPr>
      <w:r>
        <w:rPr>
          <w:rFonts w:hint="eastAsia" w:ascii="宋体" w:hAnsi="宋体"/>
          <w:color w:val="000000"/>
        </w:rPr>
        <w:t>（1）合同；</w:t>
      </w:r>
    </w:p>
    <w:p>
      <w:pPr>
        <w:snapToGrid w:val="0"/>
        <w:spacing w:line="360" w:lineRule="auto"/>
        <w:ind w:left="424" w:leftChars="202" w:firstLine="315" w:firstLineChars="150"/>
        <w:rPr>
          <w:rFonts w:ascii="宋体" w:hAnsi="宋体"/>
          <w:color w:val="000000"/>
        </w:rPr>
      </w:pPr>
      <w:r>
        <w:rPr>
          <w:rFonts w:hint="eastAsia" w:ascii="宋体" w:hAnsi="宋体"/>
          <w:color w:val="000000"/>
        </w:rPr>
        <w:t>（2）乙方开具的增值税专用发票；</w:t>
      </w:r>
    </w:p>
    <w:p>
      <w:pPr>
        <w:snapToGrid w:val="0"/>
        <w:spacing w:line="360" w:lineRule="auto"/>
        <w:ind w:left="424" w:leftChars="202" w:firstLine="315" w:firstLineChars="150"/>
        <w:rPr>
          <w:rFonts w:ascii="宋体" w:hAnsi="宋体"/>
          <w:color w:val="000000"/>
        </w:rPr>
      </w:pPr>
      <w:r>
        <w:rPr>
          <w:rFonts w:hint="eastAsia" w:ascii="宋体" w:hAnsi="宋体"/>
          <w:color w:val="000000"/>
        </w:rPr>
        <w:t>（3）验收报告（加盖甲方公章）；</w:t>
      </w:r>
    </w:p>
    <w:p>
      <w:pPr>
        <w:snapToGrid w:val="0"/>
        <w:spacing w:line="360" w:lineRule="auto"/>
        <w:ind w:left="424" w:leftChars="202" w:firstLine="315" w:firstLineChars="150"/>
        <w:rPr>
          <w:rFonts w:ascii="宋体" w:hAnsi="宋体"/>
          <w:color w:val="000000"/>
        </w:rPr>
      </w:pPr>
      <w:r>
        <w:rPr>
          <w:rFonts w:hint="eastAsia" w:ascii="宋体" w:hAnsi="宋体"/>
          <w:color w:val="000000"/>
        </w:rPr>
        <w:t>（4）成交通知书。</w:t>
      </w:r>
      <w:r>
        <w:rPr>
          <w:rFonts w:hint="eastAsia" w:ascii="宋体" w:hAnsi="宋体"/>
          <w:color w:val="000000"/>
        </w:rPr>
        <w:tab/>
      </w:r>
    </w:p>
    <w:p>
      <w:pPr>
        <w:autoSpaceDE w:val="0"/>
        <w:autoSpaceDN w:val="0"/>
        <w:adjustRightInd w:val="0"/>
        <w:spacing w:line="360" w:lineRule="auto"/>
        <w:jc w:val="left"/>
        <w:rPr>
          <w:rFonts w:ascii="宋体" w:hAnsi="宋体"/>
          <w:b/>
          <w:color w:val="000000"/>
        </w:rPr>
      </w:pPr>
      <w:r>
        <w:rPr>
          <w:rFonts w:hint="eastAsia" w:ascii="宋体" w:hAnsi="宋体"/>
          <w:b/>
          <w:color w:val="000000"/>
        </w:rPr>
        <w:t>六、知识产权产权归属</w:t>
      </w:r>
    </w:p>
    <w:p>
      <w:pPr>
        <w:snapToGrid w:val="0"/>
        <w:spacing w:line="360" w:lineRule="auto"/>
        <w:ind w:left="-420" w:leftChars="-200" w:firstLine="420" w:firstLineChars="200"/>
        <w:rPr>
          <w:rFonts w:ascii="宋体" w:hAnsi="宋体"/>
          <w:color w:val="000000"/>
        </w:rPr>
      </w:pPr>
      <w:r>
        <w:rPr>
          <w:rFonts w:hint="eastAsia" w:ascii="宋体" w:hAnsi="宋体"/>
          <w:color w:val="000000"/>
        </w:rPr>
        <w:t>乙方应保证本项目的投标技术、服务或其任何一部分不会产生因第三方提出侵犯其专利权、商标权或其他知识产权而引起的法律和经济纠纷；如因第三方提出其专利权、商标权或其他知识产权的侵权之诉，则一切法律责任由乙方承担。</w:t>
      </w:r>
    </w:p>
    <w:p>
      <w:pPr>
        <w:autoSpaceDE w:val="0"/>
        <w:autoSpaceDN w:val="0"/>
        <w:adjustRightInd w:val="0"/>
        <w:spacing w:line="360" w:lineRule="auto"/>
        <w:jc w:val="left"/>
        <w:rPr>
          <w:rFonts w:ascii="宋体" w:hAnsi="宋体"/>
          <w:b/>
          <w:color w:val="000000"/>
        </w:rPr>
      </w:pPr>
      <w:r>
        <w:rPr>
          <w:rFonts w:hint="eastAsia" w:ascii="宋体" w:hAnsi="宋体"/>
          <w:b/>
          <w:color w:val="000000"/>
        </w:rPr>
        <w:t>七、保密</w:t>
      </w:r>
    </w:p>
    <w:p>
      <w:pPr>
        <w:snapToGrid w:val="0"/>
        <w:spacing w:line="360" w:lineRule="auto"/>
        <w:ind w:left="-420" w:leftChars="-200" w:firstLine="420" w:firstLineChars="200"/>
        <w:rPr>
          <w:rFonts w:ascii="宋体" w:hAnsi="宋体"/>
          <w:color w:val="000000"/>
        </w:rPr>
      </w:pPr>
      <w:r>
        <w:rPr>
          <w:rFonts w:hint="eastAsia" w:ascii="宋体" w:hAnsi="宋体"/>
          <w:color w:val="000000"/>
        </w:rPr>
        <w:t>乙方必须采取措施对本项目实施过程中的技术资料保密，否则，由于乙方过错导致的上述资料泄密的，乙方必须承担一切责任。项目完成后，甲、乙双方均有责任对本项目的技术保密承担责任。</w:t>
      </w:r>
    </w:p>
    <w:p>
      <w:pPr>
        <w:snapToGrid w:val="0"/>
        <w:spacing w:line="360" w:lineRule="auto"/>
        <w:ind w:left="-420" w:leftChars="-200" w:firstLine="420" w:firstLineChars="200"/>
        <w:rPr>
          <w:rFonts w:ascii="宋体" w:hAnsi="宋体"/>
          <w:color w:val="000000"/>
        </w:rPr>
      </w:pPr>
      <w:r>
        <w:rPr>
          <w:rFonts w:hint="eastAsia" w:ascii="宋体" w:hAnsi="宋体"/>
          <w:color w:val="000000"/>
        </w:rPr>
        <w:t>（一）未经甲方事先书面同意，乙方不得将由甲方为本合同提供的技术资料提供给与本合同无关的任何第三方，不得将其用于履行本合同之外的其它用途。即使向与履行本合同有关的人员提供，也应注意保密并限于履行合同所必需的范围。</w:t>
      </w:r>
    </w:p>
    <w:p>
      <w:pPr>
        <w:snapToGrid w:val="0"/>
        <w:spacing w:line="360" w:lineRule="auto"/>
        <w:ind w:left="-420" w:leftChars="-200" w:firstLine="420" w:firstLineChars="200"/>
        <w:rPr>
          <w:rFonts w:ascii="宋体" w:hAnsi="宋体"/>
          <w:color w:val="000000"/>
        </w:rPr>
      </w:pPr>
      <w:r>
        <w:rPr>
          <w:rFonts w:hint="eastAsia" w:ascii="宋体" w:hAnsi="宋体"/>
          <w:color w:val="000000"/>
        </w:rPr>
        <w:t>（二）如果甲方有要求，乙方在完成合同后应将有关资料还给甲方。</w:t>
      </w:r>
    </w:p>
    <w:p>
      <w:pPr>
        <w:autoSpaceDE w:val="0"/>
        <w:autoSpaceDN w:val="0"/>
        <w:adjustRightInd w:val="0"/>
        <w:spacing w:line="360" w:lineRule="auto"/>
        <w:jc w:val="left"/>
        <w:rPr>
          <w:rFonts w:ascii="宋体" w:hAnsi="宋体"/>
          <w:b/>
          <w:color w:val="000000"/>
        </w:rPr>
      </w:pPr>
      <w:r>
        <w:rPr>
          <w:rFonts w:hint="eastAsia" w:ascii="宋体" w:hAnsi="宋体"/>
          <w:b/>
          <w:color w:val="000000"/>
        </w:rPr>
        <w:t>八、违约责任</w:t>
      </w:r>
    </w:p>
    <w:p>
      <w:pPr>
        <w:snapToGrid w:val="0"/>
        <w:spacing w:line="360" w:lineRule="auto"/>
        <w:ind w:left="-420" w:leftChars="-200" w:firstLine="420" w:firstLineChars="200"/>
        <w:rPr>
          <w:rFonts w:ascii="宋体" w:hAnsi="宋体"/>
          <w:color w:val="000000"/>
        </w:rPr>
      </w:pPr>
      <w:r>
        <w:rPr>
          <w:rFonts w:hint="eastAsia" w:ascii="宋体" w:hAnsi="宋体"/>
          <w:color w:val="000000"/>
        </w:rPr>
        <w:t>（一）乙方提供的服务不符合竞争性谈判文件、响应文件或本合同规定的，甲方有权拒收，并且乙方须向甲方方支付本合同总价5%的违约金。</w:t>
      </w:r>
    </w:p>
    <w:p>
      <w:pPr>
        <w:snapToGrid w:val="0"/>
        <w:spacing w:line="360" w:lineRule="auto"/>
        <w:ind w:left="-420" w:leftChars="-200" w:firstLine="420" w:firstLineChars="200"/>
        <w:rPr>
          <w:rFonts w:ascii="宋体" w:hAnsi="宋体"/>
          <w:color w:val="000000"/>
        </w:rPr>
      </w:pPr>
      <w:r>
        <w:rPr>
          <w:rFonts w:hint="eastAsia" w:ascii="宋体" w:hAnsi="宋体"/>
          <w:color w:val="000000"/>
        </w:rPr>
        <w:t>（二）乙方未能按本合同规定的交货时间交付货物的/提供服务，从逾期之日起每日按本合同总价3‰的数额向甲方支付违约金；逾期15天以上（含15天）的，甲方有权终止合同，要求乙方支付违约金，并且给甲方造成的经济损失由乙方承担赔偿责任。</w:t>
      </w:r>
    </w:p>
    <w:p>
      <w:pPr>
        <w:snapToGrid w:val="0"/>
        <w:spacing w:line="360" w:lineRule="auto"/>
        <w:ind w:left="-420" w:leftChars="-200" w:firstLine="420" w:firstLineChars="200"/>
        <w:rPr>
          <w:rFonts w:ascii="宋体" w:hAnsi="宋体"/>
          <w:color w:val="000000"/>
        </w:rPr>
      </w:pPr>
      <w:r>
        <w:rPr>
          <w:rFonts w:hint="eastAsia" w:ascii="宋体" w:hAnsi="宋体"/>
          <w:color w:val="000000"/>
        </w:rPr>
        <w:t>（三）甲方无正当理由拒收接受服务，到期拒付服务款项的，甲方向乙方偿付本合同总价5%的违约金。甲方逾期付款，则每日按本合同总价的3‰向乙方偿付违约金。</w:t>
      </w:r>
    </w:p>
    <w:p>
      <w:pPr>
        <w:snapToGrid w:val="0"/>
        <w:spacing w:line="360" w:lineRule="auto"/>
        <w:rPr>
          <w:rFonts w:ascii="宋体" w:hAnsi="宋体"/>
          <w:color w:val="000000"/>
        </w:rPr>
      </w:pPr>
      <w:r>
        <w:rPr>
          <w:rFonts w:hint="eastAsia" w:ascii="宋体" w:hAnsi="宋体"/>
          <w:color w:val="000000"/>
        </w:rPr>
        <w:t>（四）其它违约责任按《中华人民共和国民法典》处理。</w:t>
      </w:r>
    </w:p>
    <w:p>
      <w:pPr>
        <w:autoSpaceDE w:val="0"/>
        <w:autoSpaceDN w:val="0"/>
        <w:adjustRightInd w:val="0"/>
        <w:spacing w:line="360" w:lineRule="auto"/>
        <w:jc w:val="left"/>
        <w:rPr>
          <w:rFonts w:ascii="宋体" w:hAnsi="宋体"/>
          <w:b/>
          <w:color w:val="000000"/>
        </w:rPr>
      </w:pPr>
      <w:r>
        <w:rPr>
          <w:rFonts w:hint="eastAsia" w:ascii="宋体" w:hAnsi="宋体"/>
          <w:b/>
          <w:color w:val="000000"/>
        </w:rPr>
        <w:t>九、争端的解决</w:t>
      </w:r>
    </w:p>
    <w:p>
      <w:pPr>
        <w:snapToGrid w:val="0"/>
        <w:spacing w:line="360" w:lineRule="auto"/>
        <w:ind w:left="-420" w:leftChars="-200" w:firstLine="420" w:firstLineChars="200"/>
        <w:rPr>
          <w:rFonts w:ascii="宋体" w:hAnsi="宋体"/>
          <w:color w:val="000000"/>
        </w:rPr>
      </w:pPr>
      <w:r>
        <w:rPr>
          <w:rFonts w:hint="eastAsia" w:ascii="宋体" w:hAnsi="宋体"/>
          <w:color w:val="000000"/>
        </w:rPr>
        <w:t>合同执行过程中发生的任何争议，如双方不能通过友好协商解决，甲、乙双方一致同意向甲方所在地人民法院提起诉讼。</w:t>
      </w:r>
    </w:p>
    <w:p>
      <w:pPr>
        <w:autoSpaceDE w:val="0"/>
        <w:autoSpaceDN w:val="0"/>
        <w:adjustRightInd w:val="0"/>
        <w:spacing w:line="360" w:lineRule="auto"/>
        <w:jc w:val="left"/>
        <w:rPr>
          <w:rFonts w:ascii="宋体" w:hAnsi="宋体"/>
          <w:b/>
          <w:color w:val="000000"/>
        </w:rPr>
      </w:pPr>
      <w:r>
        <w:rPr>
          <w:rFonts w:hint="eastAsia" w:ascii="宋体" w:hAnsi="宋体"/>
          <w:b/>
          <w:color w:val="000000"/>
        </w:rPr>
        <w:t>十、不可抗力</w:t>
      </w:r>
    </w:p>
    <w:p>
      <w:pPr>
        <w:snapToGrid w:val="0"/>
        <w:spacing w:line="360" w:lineRule="auto"/>
        <w:ind w:left="-420" w:leftChars="-200" w:firstLine="420" w:firstLineChars="200"/>
        <w:rPr>
          <w:rFonts w:ascii="宋体" w:hAnsi="宋体"/>
          <w:color w:val="000000"/>
        </w:rPr>
      </w:pPr>
      <w:r>
        <w:rPr>
          <w:rFonts w:hint="eastAsia" w:ascii="宋体" w:hAnsi="宋体"/>
          <w:color w:val="000000"/>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autoSpaceDE w:val="0"/>
        <w:autoSpaceDN w:val="0"/>
        <w:adjustRightInd w:val="0"/>
        <w:spacing w:line="360" w:lineRule="auto"/>
        <w:jc w:val="left"/>
        <w:rPr>
          <w:rFonts w:ascii="宋体" w:hAnsi="宋体"/>
          <w:b/>
          <w:color w:val="000000"/>
        </w:rPr>
      </w:pPr>
      <w:r>
        <w:rPr>
          <w:rFonts w:hint="eastAsia" w:ascii="宋体" w:hAnsi="宋体"/>
          <w:b/>
          <w:color w:val="000000"/>
        </w:rPr>
        <w:t>十一、税费</w:t>
      </w:r>
    </w:p>
    <w:p>
      <w:pPr>
        <w:snapToGrid w:val="0"/>
        <w:spacing w:line="360" w:lineRule="auto"/>
        <w:ind w:left="-420" w:leftChars="-200" w:firstLine="420" w:firstLineChars="200"/>
        <w:rPr>
          <w:rFonts w:ascii="宋体" w:hAnsi="宋体"/>
          <w:color w:val="000000"/>
        </w:rPr>
      </w:pPr>
      <w:r>
        <w:rPr>
          <w:rFonts w:hint="eastAsia" w:ascii="宋体" w:hAnsi="宋体"/>
          <w:color w:val="000000"/>
        </w:rPr>
        <w:t>在中国境内、外发生的与本合同执行有关的一切税费均由乙方负担。</w:t>
      </w:r>
    </w:p>
    <w:p>
      <w:pPr>
        <w:autoSpaceDE w:val="0"/>
        <w:autoSpaceDN w:val="0"/>
        <w:adjustRightInd w:val="0"/>
        <w:spacing w:line="360" w:lineRule="auto"/>
        <w:jc w:val="left"/>
        <w:rPr>
          <w:rFonts w:ascii="宋体" w:hAnsi="宋体"/>
          <w:b/>
          <w:color w:val="000000"/>
        </w:rPr>
      </w:pPr>
      <w:r>
        <w:rPr>
          <w:rFonts w:hint="eastAsia" w:ascii="宋体" w:hAnsi="宋体"/>
          <w:b/>
          <w:color w:val="000000"/>
        </w:rPr>
        <w:t>十二、其它</w:t>
      </w:r>
    </w:p>
    <w:p>
      <w:pPr>
        <w:snapToGrid w:val="0"/>
        <w:spacing w:line="360" w:lineRule="auto"/>
        <w:ind w:left="-420" w:leftChars="-200" w:firstLine="420" w:firstLineChars="200"/>
        <w:rPr>
          <w:rFonts w:ascii="宋体" w:hAnsi="宋体"/>
          <w:color w:val="000000"/>
        </w:rPr>
      </w:pPr>
      <w:r>
        <w:rPr>
          <w:rFonts w:hint="eastAsia" w:ascii="宋体" w:hAnsi="宋体"/>
          <w:color w:val="000000"/>
        </w:rPr>
        <w:t>（一）本合同所有附件、竞争性谈判文件、响应文件、成交通知书均为合同的有效组成部分，与本合同具有同等法律效力。</w:t>
      </w:r>
    </w:p>
    <w:p>
      <w:pPr>
        <w:snapToGrid w:val="0"/>
        <w:spacing w:line="360" w:lineRule="auto"/>
        <w:ind w:left="-420" w:leftChars="-200" w:firstLine="420" w:firstLineChars="200"/>
        <w:rPr>
          <w:rFonts w:ascii="宋体" w:hAnsi="宋体"/>
          <w:color w:val="000000"/>
        </w:rPr>
      </w:pPr>
      <w:r>
        <w:rPr>
          <w:rFonts w:hint="eastAsia" w:ascii="宋体" w:hAnsi="宋体"/>
          <w:color w:val="000000"/>
        </w:rPr>
        <w:t>（二）在执行本合同的过程中，所有经双方签署确认的文件（包括会议纪要、补充协议、往来信函）即成为本合同的有效组成部分。</w:t>
      </w:r>
    </w:p>
    <w:p>
      <w:pPr>
        <w:snapToGrid w:val="0"/>
        <w:spacing w:line="360" w:lineRule="auto"/>
        <w:ind w:left="-420" w:leftChars="-200" w:firstLine="420" w:firstLineChars="200"/>
        <w:rPr>
          <w:rFonts w:ascii="宋体" w:hAnsi="宋体"/>
          <w:color w:val="000000"/>
        </w:rPr>
      </w:pPr>
      <w:r>
        <w:rPr>
          <w:rFonts w:hint="eastAsia" w:ascii="宋体" w:hAnsi="宋体"/>
          <w:color w:val="000000"/>
        </w:rPr>
        <w:t xml:space="preserve">（三）如一方地址、电话、传真号码有变更，应在变更当日内书面通知对方，否则，应承担相应责任。 </w:t>
      </w:r>
    </w:p>
    <w:p>
      <w:pPr>
        <w:snapToGrid w:val="0"/>
        <w:spacing w:line="360" w:lineRule="auto"/>
        <w:ind w:left="-420" w:leftChars="-200" w:firstLine="420" w:firstLineChars="200"/>
        <w:rPr>
          <w:rFonts w:ascii="宋体" w:hAnsi="宋体"/>
          <w:color w:val="000000"/>
        </w:rPr>
      </w:pPr>
      <w:r>
        <w:rPr>
          <w:rFonts w:hint="eastAsia" w:ascii="宋体" w:hAnsi="宋体"/>
          <w:color w:val="000000"/>
        </w:rPr>
        <w:t>（四）除甲方事先书面同意外，乙方不得部分或全部转让其应履行的合同项下的义务。</w:t>
      </w:r>
    </w:p>
    <w:p>
      <w:pPr>
        <w:autoSpaceDE w:val="0"/>
        <w:autoSpaceDN w:val="0"/>
        <w:adjustRightInd w:val="0"/>
        <w:spacing w:line="360" w:lineRule="auto"/>
        <w:jc w:val="left"/>
        <w:rPr>
          <w:rFonts w:ascii="宋体" w:hAnsi="宋体"/>
          <w:b/>
          <w:color w:val="000000"/>
        </w:rPr>
      </w:pPr>
      <w:r>
        <w:rPr>
          <w:rFonts w:hint="eastAsia" w:ascii="宋体" w:hAnsi="宋体"/>
          <w:b/>
          <w:color w:val="000000"/>
        </w:rPr>
        <w:t>十三、合同生效：</w:t>
      </w:r>
    </w:p>
    <w:p>
      <w:pPr>
        <w:pStyle w:val="2"/>
        <w:rPr>
          <w:rFonts w:ascii="宋体" w:hAnsi="宋体"/>
        </w:rPr>
      </w:pPr>
      <w:r>
        <w:rPr>
          <w:rFonts w:hint="eastAsia" w:ascii="宋体" w:hAnsi="宋体"/>
        </w:rPr>
        <w:t xml:space="preserve"> </w:t>
      </w:r>
    </w:p>
    <w:p>
      <w:pPr>
        <w:snapToGrid w:val="0"/>
        <w:spacing w:line="360" w:lineRule="auto"/>
        <w:ind w:left="-420" w:leftChars="-200" w:firstLine="420" w:firstLineChars="200"/>
        <w:rPr>
          <w:rFonts w:ascii="宋体" w:hAnsi="宋体"/>
          <w:color w:val="000000"/>
        </w:rPr>
      </w:pPr>
      <w:r>
        <w:rPr>
          <w:rFonts w:hint="eastAsia" w:ascii="宋体" w:hAnsi="宋体"/>
          <w:color w:val="000000"/>
        </w:rPr>
        <w:t>（五）合同自甲、乙双方法人代表或其授权代表签字并加盖公章之日起生效。</w:t>
      </w:r>
    </w:p>
    <w:p>
      <w:pPr>
        <w:snapToGrid w:val="0"/>
        <w:spacing w:line="360" w:lineRule="auto"/>
        <w:ind w:left="-420" w:leftChars="-200" w:firstLine="420" w:firstLineChars="200"/>
        <w:rPr>
          <w:rFonts w:ascii="宋体" w:hAnsi="宋体"/>
          <w:color w:val="000000"/>
        </w:rPr>
      </w:pPr>
      <w:r>
        <w:rPr>
          <w:rFonts w:hint="eastAsia" w:ascii="宋体" w:hAnsi="宋体"/>
          <w:color w:val="000000"/>
        </w:rPr>
        <w:t>（六）合同壹式4份，其中甲方执     份，乙方执     份，采购代理机构执壹份。</w:t>
      </w:r>
    </w:p>
    <w:p>
      <w:pPr>
        <w:spacing w:line="360" w:lineRule="auto"/>
        <w:rPr>
          <w:rFonts w:ascii="宋体" w:hAnsi="宋体"/>
          <w:color w:val="000000"/>
        </w:rPr>
      </w:pPr>
      <w:r>
        <w:rPr>
          <w:rFonts w:hint="eastAsia" w:ascii="宋体" w:hAnsi="宋体"/>
          <w:color w:val="000000"/>
        </w:rPr>
        <w:t xml:space="preserve"> </w:t>
      </w:r>
    </w:p>
    <w:p>
      <w:pPr>
        <w:spacing w:line="360" w:lineRule="auto"/>
        <w:rPr>
          <w:rFonts w:ascii="宋体" w:hAnsi="宋体"/>
          <w:b/>
          <w:color w:val="000000"/>
        </w:rPr>
      </w:pPr>
      <w:r>
        <w:rPr>
          <w:rFonts w:hint="eastAsia" w:ascii="宋体" w:hAnsi="宋体"/>
          <w:b/>
          <w:color w:val="000000"/>
        </w:rPr>
        <w:t xml:space="preserve"> </w:t>
      </w:r>
    </w:p>
    <w:p>
      <w:pPr>
        <w:spacing w:line="360" w:lineRule="auto"/>
        <w:rPr>
          <w:rFonts w:ascii="宋体" w:hAnsi="宋体"/>
          <w:b/>
        </w:rPr>
      </w:pPr>
      <w:r>
        <w:rPr>
          <w:rFonts w:hint="eastAsia" w:ascii="宋体" w:hAnsi="宋体"/>
          <w:b/>
          <w:color w:val="000000"/>
        </w:rPr>
        <w:br w:type="textWrapping"/>
      </w:r>
      <w:r>
        <w:rPr>
          <w:rFonts w:hint="eastAsia" w:ascii="宋体" w:hAnsi="宋体"/>
          <w:b/>
        </w:rPr>
        <w:t>甲方（盖章）：                                乙方（盖章）：</w:t>
      </w:r>
    </w:p>
    <w:p>
      <w:pPr>
        <w:spacing w:line="360" w:lineRule="auto"/>
        <w:rPr>
          <w:rFonts w:ascii="宋体" w:hAnsi="宋体"/>
          <w:b/>
        </w:rPr>
      </w:pPr>
      <w:r>
        <w:rPr>
          <w:rFonts w:hint="eastAsia" w:ascii="宋体" w:hAnsi="宋体"/>
          <w:b/>
        </w:rPr>
        <w:t>代表：                                       代表：</w:t>
      </w:r>
    </w:p>
    <w:p>
      <w:pPr>
        <w:spacing w:line="360" w:lineRule="auto"/>
        <w:rPr>
          <w:rFonts w:ascii="宋体" w:hAnsi="宋体"/>
        </w:rPr>
      </w:pPr>
      <w:r>
        <w:rPr>
          <w:rFonts w:hint="eastAsia" w:ascii="宋体" w:hAnsi="宋体"/>
        </w:rPr>
        <w:t xml:space="preserve">签定日期：        年     月    日            签定日期： 年  月    日    </w:t>
      </w:r>
    </w:p>
    <w:p>
      <w:pPr>
        <w:widowControl/>
        <w:spacing w:line="360" w:lineRule="auto"/>
        <w:jc w:val="left"/>
        <w:rPr>
          <w:rFonts w:ascii="宋体" w:hAnsi="宋体"/>
          <w:color w:val="000000"/>
        </w:rPr>
      </w:pPr>
      <w:r>
        <w:rPr>
          <w:rFonts w:hint="eastAsia" w:ascii="宋体" w:hAnsi="宋体"/>
          <w:color w:val="000000"/>
        </w:rPr>
        <w:t xml:space="preserve"> </w:t>
      </w:r>
    </w:p>
    <w:p>
      <w:r>
        <w:t xml:space="preserve"> </w:t>
      </w:r>
    </w:p>
    <w:p>
      <w:pPr>
        <w:pStyle w:val="4"/>
        <w:jc w:val="center"/>
        <w:rPr>
          <w:rFonts w:ascii="宋体" w:hAnsi="宋体" w:cs="宋体"/>
          <w:color w:val="000000"/>
          <w:szCs w:val="21"/>
        </w:rPr>
      </w:pPr>
      <w:r>
        <w:rPr>
          <w:rFonts w:hint="eastAsia" w:ascii="宋体" w:hAnsi="宋体" w:cs="宋体"/>
          <w:color w:val="000000"/>
          <w:szCs w:val="21"/>
        </w:rPr>
        <w:t xml:space="preserve"> </w:t>
      </w:r>
    </w:p>
    <w:p>
      <w:pPr>
        <w:widowControl/>
        <w:spacing w:line="360" w:lineRule="auto"/>
        <w:jc w:val="left"/>
        <w:rPr>
          <w:rFonts w:ascii="宋体" w:hAnsi="宋体"/>
          <w:color w:val="000000"/>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D10DA"/>
    <w:multiLevelType w:val="multilevel"/>
    <w:tmpl w:val="04AD10DA"/>
    <w:lvl w:ilvl="0" w:tentative="0">
      <w:start w:val="1"/>
      <w:numFmt w:val="decimal"/>
      <w:suff w:val="nothing"/>
      <w:lvlText w:val="（%1）"/>
      <w:lvlJc w:val="left"/>
      <w:pPr>
        <w:ind w:left="988" w:hanging="420"/>
      </w:pPr>
      <w:rPr>
        <w:rFonts w:hint="eastAsia"/>
      </w:rPr>
    </w:lvl>
    <w:lvl w:ilvl="1" w:tentative="0">
      <w:start w:val="1"/>
      <w:numFmt w:val="lowerLetter"/>
      <w:lvlText w:val="%2)"/>
      <w:lvlJc w:val="left"/>
      <w:pPr>
        <w:ind w:left="1550" w:hanging="420"/>
      </w:pPr>
      <w:rPr>
        <w:rFonts w:hint="eastAsia"/>
      </w:rPr>
    </w:lvl>
    <w:lvl w:ilvl="2" w:tentative="0">
      <w:start w:val="1"/>
      <w:numFmt w:val="lowerRoman"/>
      <w:lvlText w:val="%3."/>
      <w:lvlJc w:val="right"/>
      <w:pPr>
        <w:ind w:left="1970" w:hanging="420"/>
      </w:pPr>
      <w:rPr>
        <w:rFonts w:hint="eastAsia"/>
      </w:rPr>
    </w:lvl>
    <w:lvl w:ilvl="3" w:tentative="0">
      <w:start w:val="1"/>
      <w:numFmt w:val="decimal"/>
      <w:lvlText w:val="%4."/>
      <w:lvlJc w:val="left"/>
      <w:pPr>
        <w:ind w:left="2390" w:hanging="420"/>
      </w:pPr>
      <w:rPr>
        <w:rFonts w:hint="eastAsia"/>
      </w:rPr>
    </w:lvl>
    <w:lvl w:ilvl="4" w:tentative="0">
      <w:start w:val="1"/>
      <w:numFmt w:val="lowerLetter"/>
      <w:lvlText w:val="%5)"/>
      <w:lvlJc w:val="left"/>
      <w:pPr>
        <w:ind w:left="2810" w:hanging="420"/>
      </w:pPr>
      <w:rPr>
        <w:rFonts w:hint="eastAsia"/>
      </w:rPr>
    </w:lvl>
    <w:lvl w:ilvl="5" w:tentative="0">
      <w:start w:val="1"/>
      <w:numFmt w:val="lowerRoman"/>
      <w:lvlText w:val="%6."/>
      <w:lvlJc w:val="right"/>
      <w:pPr>
        <w:ind w:left="3230" w:hanging="420"/>
      </w:pPr>
      <w:rPr>
        <w:rFonts w:hint="eastAsia"/>
      </w:rPr>
    </w:lvl>
    <w:lvl w:ilvl="6" w:tentative="0">
      <w:start w:val="1"/>
      <w:numFmt w:val="decimal"/>
      <w:lvlText w:val="%7."/>
      <w:lvlJc w:val="left"/>
      <w:pPr>
        <w:ind w:left="3650" w:hanging="420"/>
      </w:pPr>
      <w:rPr>
        <w:rFonts w:hint="eastAsia"/>
      </w:rPr>
    </w:lvl>
    <w:lvl w:ilvl="7" w:tentative="0">
      <w:start w:val="1"/>
      <w:numFmt w:val="lowerLetter"/>
      <w:lvlText w:val="%8)"/>
      <w:lvlJc w:val="left"/>
      <w:pPr>
        <w:ind w:left="4070" w:hanging="420"/>
      </w:pPr>
      <w:rPr>
        <w:rFonts w:hint="eastAsia"/>
      </w:rPr>
    </w:lvl>
    <w:lvl w:ilvl="8" w:tentative="0">
      <w:start w:val="1"/>
      <w:numFmt w:val="lowerRoman"/>
      <w:lvlText w:val="%9."/>
      <w:lvlJc w:val="right"/>
      <w:pPr>
        <w:ind w:left="4490" w:hanging="420"/>
      </w:pPr>
      <w:rPr>
        <w:rFonts w:hint="eastAsia"/>
      </w:rPr>
    </w:lvl>
  </w:abstractNum>
  <w:abstractNum w:abstractNumId="1">
    <w:nsid w:val="068C4852"/>
    <w:multiLevelType w:val="multilevel"/>
    <w:tmpl w:val="068C4852"/>
    <w:lvl w:ilvl="0" w:tentative="0">
      <w:start w:val="1"/>
      <w:numFmt w:val="decimal"/>
      <w:suff w:val="nothing"/>
      <w:lvlText w:val="%1."/>
      <w:lvlJc w:val="left"/>
      <w:pPr>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rPr>
    </w:lvl>
    <w:lvl w:ilvl="2" w:tentative="0">
      <w:start w:val="1"/>
      <w:numFmt w:val="decimal"/>
      <w:lvlText w:val="%1.%2.%3."/>
      <w:lvlJc w:val="left"/>
      <w:pPr>
        <w:tabs>
          <w:tab w:val="left" w:pos="709"/>
        </w:tabs>
        <w:ind w:left="709" w:hanging="709"/>
      </w:pPr>
      <w:rPr>
        <w:rFonts w:hint="eastAsia" w:ascii="宋体" w:hAnsi="宋体" w:eastAsia="宋体"/>
      </w:rPr>
    </w:lvl>
    <w:lvl w:ilvl="3" w:tentative="0">
      <w:start w:val="1"/>
      <w:numFmt w:val="decimal"/>
      <w:lvlText w:val="%1.%2.%3.%4."/>
      <w:lvlJc w:val="left"/>
      <w:pPr>
        <w:tabs>
          <w:tab w:val="left" w:pos="851"/>
        </w:tabs>
        <w:ind w:left="851" w:hanging="851"/>
      </w:pPr>
      <w:rPr>
        <w:rFonts w:hint="eastAsia" w:ascii="宋体" w:hAnsi="宋体" w:eastAsia="宋体"/>
      </w:rPr>
    </w:lvl>
    <w:lvl w:ilvl="4" w:tentative="0">
      <w:start w:val="1"/>
      <w:numFmt w:val="decimal"/>
      <w:lvlText w:val="%1.%2.%3.%4.%5."/>
      <w:lvlJc w:val="left"/>
      <w:pPr>
        <w:tabs>
          <w:tab w:val="left" w:pos="992"/>
        </w:tabs>
        <w:ind w:left="992" w:hanging="992"/>
      </w:pPr>
      <w:rPr>
        <w:rFonts w:hint="eastAsia" w:ascii="宋体" w:hAnsi="宋体" w:eastAsia="宋体"/>
      </w:rPr>
    </w:lvl>
    <w:lvl w:ilvl="5" w:tentative="0">
      <w:start w:val="1"/>
      <w:numFmt w:val="decimal"/>
      <w:lvlText w:val="%1.%2.%3.%4.%5.%6."/>
      <w:lvlJc w:val="left"/>
      <w:pPr>
        <w:tabs>
          <w:tab w:val="left" w:pos="1134"/>
        </w:tabs>
        <w:ind w:left="1134" w:hanging="1134"/>
      </w:pPr>
      <w:rPr>
        <w:rFonts w:hint="eastAsia" w:ascii="宋体" w:hAnsi="宋体" w:eastAsia="宋体"/>
      </w:rPr>
    </w:lvl>
    <w:lvl w:ilvl="6" w:tentative="0">
      <w:start w:val="1"/>
      <w:numFmt w:val="decimal"/>
      <w:lvlText w:val="%1.%2.%3.%4.%5.%6.%7."/>
      <w:lvlJc w:val="left"/>
      <w:pPr>
        <w:tabs>
          <w:tab w:val="left" w:pos="1276"/>
        </w:tabs>
        <w:ind w:left="1276" w:hanging="1276"/>
      </w:pPr>
      <w:rPr>
        <w:rFonts w:hint="eastAsia" w:ascii="宋体" w:hAnsi="宋体" w:eastAsia="宋体"/>
      </w:rPr>
    </w:lvl>
    <w:lvl w:ilvl="7" w:tentative="0">
      <w:start w:val="1"/>
      <w:numFmt w:val="decimal"/>
      <w:lvlText w:val="%1.%2.%3.%4.%5.%6.%7.%8."/>
      <w:lvlJc w:val="left"/>
      <w:pPr>
        <w:tabs>
          <w:tab w:val="left" w:pos="1418"/>
        </w:tabs>
        <w:ind w:left="1418" w:hanging="1418"/>
      </w:pPr>
      <w:rPr>
        <w:rFonts w:hint="eastAsia" w:ascii="宋体" w:hAnsi="宋体" w:eastAsia="宋体"/>
      </w:rPr>
    </w:lvl>
    <w:lvl w:ilvl="8" w:tentative="0">
      <w:start w:val="1"/>
      <w:numFmt w:val="decimal"/>
      <w:lvlText w:val="%1.%2.%3.%4.%5.%6.%7.%8.%9."/>
      <w:lvlJc w:val="left"/>
      <w:pPr>
        <w:tabs>
          <w:tab w:val="left" w:pos="1559"/>
        </w:tabs>
        <w:ind w:left="1559" w:hanging="1559"/>
      </w:pPr>
      <w:rPr>
        <w:rFonts w:hint="eastAsia" w:ascii="宋体" w:hAnsi="宋体" w:eastAsia="宋体"/>
      </w:rPr>
    </w:lvl>
  </w:abstractNum>
  <w:abstractNum w:abstractNumId="2">
    <w:nsid w:val="08F55937"/>
    <w:multiLevelType w:val="multilevel"/>
    <w:tmpl w:val="08F55937"/>
    <w:lvl w:ilvl="0" w:tentative="0">
      <w:start w:val="3"/>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111F104F"/>
    <w:multiLevelType w:val="multilevel"/>
    <w:tmpl w:val="111F104F"/>
    <w:lvl w:ilvl="0" w:tentative="0">
      <w:start w:val="1"/>
      <w:numFmt w:val="chineseCountingThousand"/>
      <w:suff w:val="nothing"/>
      <w:lvlText w:val="%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25214F2"/>
    <w:multiLevelType w:val="multilevel"/>
    <w:tmpl w:val="125214F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5">
    <w:nsid w:val="140A6B21"/>
    <w:multiLevelType w:val="multilevel"/>
    <w:tmpl w:val="140A6B21"/>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6">
    <w:nsid w:val="215C76AC"/>
    <w:multiLevelType w:val="multilevel"/>
    <w:tmpl w:val="215C76AC"/>
    <w:lvl w:ilvl="0" w:tentative="0">
      <w:start w:val="1"/>
      <w:numFmt w:val="decimal"/>
      <w:lvlText w:val="%1."/>
      <w:lvlJc w:val="left"/>
      <w:pPr>
        <w:ind w:left="420" w:hanging="420"/>
      </w:pPr>
      <w:rPr>
        <w:rFonts w:hint="eastAsia"/>
      </w:rPr>
    </w:lvl>
    <w:lvl w:ilvl="1" w:tentative="0">
      <w:start w:val="1"/>
      <w:numFmt w:val="decimal"/>
      <w:suff w:val="nothing"/>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
    <w:nsid w:val="227D41A0"/>
    <w:multiLevelType w:val="multilevel"/>
    <w:tmpl w:val="227D41A0"/>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8">
    <w:nsid w:val="2F0E7B2B"/>
    <w:multiLevelType w:val="multilevel"/>
    <w:tmpl w:val="2F0E7B2B"/>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9">
    <w:nsid w:val="34433F59"/>
    <w:multiLevelType w:val="multilevel"/>
    <w:tmpl w:val="34433F59"/>
    <w:lvl w:ilvl="0" w:tentative="0">
      <w:start w:val="1"/>
      <w:numFmt w:val="chineseCountingThousand"/>
      <w:suff w:val="nothing"/>
      <w:lvlText w:val="(%1)"/>
      <w:lvlJc w:val="left"/>
      <w:pPr>
        <w:ind w:left="420" w:hanging="420"/>
      </w:pPr>
      <w:rPr>
        <w:rFonts w:hint="eastAsia"/>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3CE44964"/>
    <w:multiLevelType w:val="multilevel"/>
    <w:tmpl w:val="3CE44964"/>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1">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
      <w:lvlJc w:val="left"/>
      <w:pPr>
        <w:ind w:left="993"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2">
    <w:nsid w:val="440F3D16"/>
    <w:multiLevelType w:val="multilevel"/>
    <w:tmpl w:val="440F3D16"/>
    <w:lvl w:ilvl="0" w:tentative="0">
      <w:start w:val="1"/>
      <w:numFmt w:val="chineseCountingThousand"/>
      <w:suff w:val="nothing"/>
      <w:lvlText w:val="(%1)"/>
      <w:lvlJc w:val="left"/>
      <w:pPr>
        <w:ind w:left="420" w:hanging="42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4737457B"/>
    <w:multiLevelType w:val="multilevel"/>
    <w:tmpl w:val="4737457B"/>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14">
    <w:nsid w:val="4A7411E8"/>
    <w:multiLevelType w:val="multilevel"/>
    <w:tmpl w:val="4A7411E8"/>
    <w:lvl w:ilvl="0" w:tentative="0">
      <w:start w:val="1"/>
      <w:numFmt w:val="decimal"/>
      <w:lvlText w:val="（%1）."/>
      <w:lvlJc w:val="left"/>
      <w:pPr>
        <w:ind w:left="1159" w:hanging="420"/>
      </w:pPr>
      <w:rPr>
        <w:rFonts w:hint="eastAsia" w:ascii="宋体" w:hAnsi="宋体" w:eastAsia="宋体"/>
      </w:rPr>
    </w:lvl>
    <w:lvl w:ilvl="1" w:tentative="0">
      <w:start w:val="1"/>
      <w:numFmt w:val="decimal"/>
      <w:suff w:val="nothing"/>
      <w:lvlText w:val="（%2）"/>
      <w:lvlJc w:val="left"/>
      <w:pPr>
        <w:ind w:left="420" w:hanging="420"/>
      </w:pPr>
      <w:rPr>
        <w:rFonts w:hint="eastAsia" w:ascii="宋体" w:hAnsi="宋体" w:eastAsia="宋体"/>
      </w:rPr>
    </w:lvl>
    <w:lvl w:ilvl="2" w:tentative="0">
      <w:start w:val="1"/>
      <w:numFmt w:val="lowerRoman"/>
      <w:lvlText w:val="%3."/>
      <w:lvlJc w:val="right"/>
      <w:pPr>
        <w:ind w:left="1999" w:hanging="420"/>
      </w:pPr>
      <w:rPr>
        <w:rFonts w:hint="default" w:ascii="Times New Roman" w:hAnsi="Times New Roman" w:cs="Times New Roman"/>
      </w:rPr>
    </w:lvl>
    <w:lvl w:ilvl="3" w:tentative="0">
      <w:start w:val="1"/>
      <w:numFmt w:val="decimal"/>
      <w:lvlText w:val="%4."/>
      <w:lvlJc w:val="left"/>
      <w:pPr>
        <w:ind w:left="2419" w:hanging="420"/>
      </w:pPr>
      <w:rPr>
        <w:rFonts w:hint="default" w:ascii="Times New Roman" w:hAnsi="Times New Roman" w:cs="Times New Roman"/>
      </w:rPr>
    </w:lvl>
    <w:lvl w:ilvl="4" w:tentative="0">
      <w:start w:val="1"/>
      <w:numFmt w:val="lowerLetter"/>
      <w:lvlText w:val="%5)"/>
      <w:lvlJc w:val="left"/>
      <w:pPr>
        <w:ind w:left="2839" w:hanging="420"/>
      </w:pPr>
      <w:rPr>
        <w:rFonts w:hint="default" w:ascii="Times New Roman" w:hAnsi="Times New Roman" w:cs="Times New Roman"/>
      </w:rPr>
    </w:lvl>
    <w:lvl w:ilvl="5" w:tentative="0">
      <w:start w:val="1"/>
      <w:numFmt w:val="lowerRoman"/>
      <w:lvlText w:val="%6."/>
      <w:lvlJc w:val="right"/>
      <w:pPr>
        <w:ind w:left="3259" w:hanging="420"/>
      </w:pPr>
      <w:rPr>
        <w:rFonts w:hint="default" w:ascii="Times New Roman" w:hAnsi="Times New Roman" w:cs="Times New Roman"/>
      </w:rPr>
    </w:lvl>
    <w:lvl w:ilvl="6" w:tentative="0">
      <w:start w:val="1"/>
      <w:numFmt w:val="decimal"/>
      <w:lvlText w:val="%7."/>
      <w:lvlJc w:val="left"/>
      <w:pPr>
        <w:ind w:left="3679" w:hanging="420"/>
      </w:pPr>
      <w:rPr>
        <w:rFonts w:hint="default" w:ascii="Times New Roman" w:hAnsi="Times New Roman" w:cs="Times New Roman"/>
      </w:rPr>
    </w:lvl>
    <w:lvl w:ilvl="7" w:tentative="0">
      <w:start w:val="1"/>
      <w:numFmt w:val="lowerLetter"/>
      <w:lvlText w:val="%8)"/>
      <w:lvlJc w:val="left"/>
      <w:pPr>
        <w:ind w:left="4099" w:hanging="420"/>
      </w:pPr>
      <w:rPr>
        <w:rFonts w:hint="default" w:ascii="Times New Roman" w:hAnsi="Times New Roman" w:cs="Times New Roman"/>
      </w:rPr>
    </w:lvl>
    <w:lvl w:ilvl="8" w:tentative="0">
      <w:start w:val="1"/>
      <w:numFmt w:val="lowerRoman"/>
      <w:lvlText w:val="%9."/>
      <w:lvlJc w:val="right"/>
      <w:pPr>
        <w:ind w:left="4519" w:hanging="420"/>
      </w:pPr>
      <w:rPr>
        <w:rFonts w:hint="default" w:ascii="Times New Roman" w:hAnsi="Times New Roman" w:cs="Times New Roman"/>
      </w:rPr>
    </w:lvl>
  </w:abstractNum>
  <w:abstractNum w:abstractNumId="15">
    <w:nsid w:val="4CE23F7C"/>
    <w:multiLevelType w:val="multilevel"/>
    <w:tmpl w:val="4CE23F7C"/>
    <w:lvl w:ilvl="0" w:tentative="0">
      <w:start w:val="1"/>
      <w:numFmt w:val="decimal"/>
      <w:suff w:val="nothing"/>
      <w:lvlText w:val="(%1)"/>
      <w:lvlJc w:val="left"/>
      <w:pPr>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6">
    <w:nsid w:val="59794862"/>
    <w:multiLevelType w:val="multilevel"/>
    <w:tmpl w:val="5979486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7">
    <w:nsid w:val="648B6B64"/>
    <w:multiLevelType w:val="multilevel"/>
    <w:tmpl w:val="648B6B64"/>
    <w:lvl w:ilvl="0" w:tentative="0">
      <w:start w:val="1"/>
      <w:numFmt w:val="chineseCountingThousand"/>
      <w:suff w:val="nothing"/>
      <w:lvlText w:val="(%1)"/>
      <w:lvlJc w:val="left"/>
      <w:pPr>
        <w:ind w:left="420" w:hanging="420"/>
      </w:pPr>
      <w:rPr>
        <w:rFonts w:hint="eastAsia" w:ascii="宋体" w:hAnsi="宋体" w:eastAsia="宋体"/>
      </w:rPr>
    </w:lvl>
    <w:lvl w:ilvl="1" w:tentative="0">
      <w:start w:val="1"/>
      <w:numFmt w:val="decimal"/>
      <w:lvlText w:val="（%2）"/>
      <w:lvlJc w:val="left"/>
      <w:pPr>
        <w:ind w:left="1560" w:hanging="720"/>
      </w:pPr>
      <w:rPr>
        <w:rFonts w:hint="default" w:ascii="Times New Roman" w:hAnsi="Times New Roman" w:cs="Times New Roman"/>
      </w:rPr>
    </w:lvl>
    <w:lvl w:ilvl="2" w:tentative="0">
      <w:start w:val="1"/>
      <w:numFmt w:val="lowerRoman"/>
      <w:lvlText w:val="%3."/>
      <w:lvlJc w:val="right"/>
      <w:pPr>
        <w:ind w:left="1680" w:hanging="420"/>
      </w:pPr>
      <w:rPr>
        <w:rFonts w:hint="default" w:ascii="Times New Roman" w:hAnsi="Times New Roman" w:cs="Times New Roman"/>
      </w:rPr>
    </w:lvl>
    <w:lvl w:ilvl="3" w:tentative="0">
      <w:start w:val="1"/>
      <w:numFmt w:val="decimal"/>
      <w:lvlText w:val="%4."/>
      <w:lvlJc w:val="left"/>
      <w:pPr>
        <w:ind w:left="2100" w:hanging="420"/>
      </w:pPr>
      <w:rPr>
        <w:rFonts w:hint="default" w:ascii="Times New Roman" w:hAnsi="Times New Roman" w:cs="Times New Roman"/>
      </w:rPr>
    </w:lvl>
    <w:lvl w:ilvl="4" w:tentative="0">
      <w:start w:val="1"/>
      <w:numFmt w:val="lowerLetter"/>
      <w:lvlText w:val="%5)"/>
      <w:lvlJc w:val="left"/>
      <w:pPr>
        <w:ind w:left="2520" w:hanging="420"/>
      </w:pPr>
      <w:rPr>
        <w:rFonts w:hint="default" w:ascii="Times New Roman" w:hAnsi="Times New Roman" w:cs="Times New Roman"/>
      </w:rPr>
    </w:lvl>
    <w:lvl w:ilvl="5" w:tentative="0">
      <w:start w:val="1"/>
      <w:numFmt w:val="lowerRoman"/>
      <w:lvlText w:val="%6."/>
      <w:lvlJc w:val="right"/>
      <w:pPr>
        <w:ind w:left="2940" w:hanging="420"/>
      </w:pPr>
      <w:rPr>
        <w:rFonts w:hint="default" w:ascii="Times New Roman" w:hAnsi="Times New Roman" w:cs="Times New Roman"/>
      </w:rPr>
    </w:lvl>
    <w:lvl w:ilvl="6" w:tentative="0">
      <w:start w:val="1"/>
      <w:numFmt w:val="decimal"/>
      <w:lvlText w:val="%7."/>
      <w:lvlJc w:val="left"/>
      <w:pPr>
        <w:ind w:left="3360" w:hanging="420"/>
      </w:pPr>
      <w:rPr>
        <w:rFonts w:hint="default" w:ascii="Times New Roman" w:hAnsi="Times New Roman" w:cs="Times New Roman"/>
      </w:rPr>
    </w:lvl>
    <w:lvl w:ilvl="7" w:tentative="0">
      <w:start w:val="1"/>
      <w:numFmt w:val="lowerLetter"/>
      <w:lvlText w:val="%8)"/>
      <w:lvlJc w:val="left"/>
      <w:pPr>
        <w:ind w:left="3780" w:hanging="420"/>
      </w:pPr>
      <w:rPr>
        <w:rFonts w:hint="default" w:ascii="Times New Roman" w:hAnsi="Times New Roman" w:cs="Times New Roman"/>
      </w:rPr>
    </w:lvl>
    <w:lvl w:ilvl="8" w:tentative="0">
      <w:start w:val="1"/>
      <w:numFmt w:val="lowerRoman"/>
      <w:lvlText w:val="%9."/>
      <w:lvlJc w:val="right"/>
      <w:pPr>
        <w:ind w:left="4200" w:hanging="420"/>
      </w:pPr>
      <w:rPr>
        <w:rFonts w:hint="default" w:ascii="Times New Roman" w:hAnsi="Times New Roman" w:cs="Times New Roman"/>
      </w:rPr>
    </w:lvl>
  </w:abstractNum>
  <w:abstractNum w:abstractNumId="18">
    <w:nsid w:val="6E19083E"/>
    <w:multiLevelType w:val="multilevel"/>
    <w:tmpl w:val="6E19083E"/>
    <w:lvl w:ilvl="0" w:tentative="0">
      <w:start w:val="1"/>
      <w:numFmt w:val="decimal"/>
      <w:suff w:val="nothing"/>
      <w:lvlText w:val="%1."/>
      <w:lvlJc w:val="left"/>
      <w:pPr>
        <w:ind w:left="420" w:hanging="420"/>
      </w:pPr>
      <w:rPr>
        <w:rFonts w:hint="eastAsia" w:ascii="Calibri" w:hAnsi="Calibri" w:eastAsia="宋体" w:cs="Times New Roman"/>
        <w:color w:val="auto"/>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9">
    <w:nsid w:val="76E92880"/>
    <w:multiLevelType w:val="multilevel"/>
    <w:tmpl w:val="76E92880"/>
    <w:lvl w:ilvl="0" w:tentative="0">
      <w:start w:val="1"/>
      <w:numFmt w:val="decimal"/>
      <w:suff w:val="nothing"/>
      <w:lvlText w:val="%1."/>
      <w:lvlJc w:val="left"/>
      <w:pPr>
        <w:ind w:left="846" w:hanging="420"/>
      </w:pPr>
      <w:rPr>
        <w:rFonts w:hint="eastAsia"/>
        <w:b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20">
    <w:nsid w:val="7B29313F"/>
    <w:multiLevelType w:val="multilevel"/>
    <w:tmpl w:val="7B29313F"/>
    <w:lvl w:ilvl="0" w:tentative="0">
      <w:start w:val="1"/>
      <w:numFmt w:val="chineseCountingThousand"/>
      <w:suff w:val="nothing"/>
      <w:lvlText w:val="(%1)"/>
      <w:lvlJc w:val="left"/>
      <w:pPr>
        <w:ind w:left="420" w:hanging="420"/>
      </w:pPr>
      <w:rPr>
        <w:rFonts w:hint="eastAsia" w:ascii="宋体" w:hAnsi="宋体" w:eastAsia="宋体"/>
        <w:b w:val="0"/>
      </w:rPr>
    </w:lvl>
    <w:lvl w:ilvl="1" w:tentative="0">
      <w:start w:val="1"/>
      <w:numFmt w:val="lowerLetter"/>
      <w:lvlText w:val="%2)"/>
      <w:lvlJc w:val="left"/>
      <w:pPr>
        <w:ind w:left="692" w:hanging="420"/>
      </w:pPr>
      <w:rPr>
        <w:rFonts w:hint="default" w:ascii="Times New Roman" w:hAnsi="Times New Roman" w:cs="Times New Roman"/>
      </w:rPr>
    </w:lvl>
    <w:lvl w:ilvl="2" w:tentative="0">
      <w:start w:val="1"/>
      <w:numFmt w:val="lowerRoman"/>
      <w:lvlText w:val="%3."/>
      <w:lvlJc w:val="right"/>
      <w:pPr>
        <w:ind w:left="1112" w:hanging="420"/>
      </w:pPr>
      <w:rPr>
        <w:rFonts w:hint="default" w:ascii="Times New Roman" w:hAnsi="Times New Roman" w:cs="Times New Roman"/>
      </w:rPr>
    </w:lvl>
    <w:lvl w:ilvl="3" w:tentative="0">
      <w:start w:val="1"/>
      <w:numFmt w:val="decimal"/>
      <w:lvlText w:val="%4."/>
      <w:lvlJc w:val="left"/>
      <w:pPr>
        <w:ind w:left="1532" w:hanging="420"/>
      </w:pPr>
      <w:rPr>
        <w:rFonts w:hint="default" w:ascii="Times New Roman" w:hAnsi="Times New Roman" w:cs="Times New Roman"/>
      </w:rPr>
    </w:lvl>
    <w:lvl w:ilvl="4" w:tentative="0">
      <w:start w:val="1"/>
      <w:numFmt w:val="lowerLetter"/>
      <w:lvlText w:val="%5)"/>
      <w:lvlJc w:val="left"/>
      <w:pPr>
        <w:ind w:left="1952" w:hanging="420"/>
      </w:pPr>
      <w:rPr>
        <w:rFonts w:hint="default" w:ascii="Times New Roman" w:hAnsi="Times New Roman" w:cs="Times New Roman"/>
      </w:rPr>
    </w:lvl>
    <w:lvl w:ilvl="5" w:tentative="0">
      <w:start w:val="1"/>
      <w:numFmt w:val="lowerRoman"/>
      <w:lvlText w:val="%6."/>
      <w:lvlJc w:val="right"/>
      <w:pPr>
        <w:ind w:left="2372" w:hanging="420"/>
      </w:pPr>
      <w:rPr>
        <w:rFonts w:hint="default" w:ascii="Times New Roman" w:hAnsi="Times New Roman" w:cs="Times New Roman"/>
      </w:rPr>
    </w:lvl>
    <w:lvl w:ilvl="6" w:tentative="0">
      <w:start w:val="1"/>
      <w:numFmt w:val="decimal"/>
      <w:lvlText w:val="%7."/>
      <w:lvlJc w:val="left"/>
      <w:pPr>
        <w:ind w:left="2792" w:hanging="420"/>
      </w:pPr>
      <w:rPr>
        <w:rFonts w:hint="default" w:ascii="Times New Roman" w:hAnsi="Times New Roman" w:cs="Times New Roman"/>
      </w:rPr>
    </w:lvl>
    <w:lvl w:ilvl="7" w:tentative="0">
      <w:start w:val="1"/>
      <w:numFmt w:val="lowerLetter"/>
      <w:lvlText w:val="%8)"/>
      <w:lvlJc w:val="left"/>
      <w:pPr>
        <w:ind w:left="3212" w:hanging="420"/>
      </w:pPr>
      <w:rPr>
        <w:rFonts w:hint="default" w:ascii="Times New Roman" w:hAnsi="Times New Roman" w:cs="Times New Roman"/>
      </w:rPr>
    </w:lvl>
    <w:lvl w:ilvl="8" w:tentative="0">
      <w:start w:val="1"/>
      <w:numFmt w:val="lowerRoman"/>
      <w:lvlText w:val="%9."/>
      <w:lvlJc w:val="right"/>
      <w:pPr>
        <w:ind w:left="3632" w:hanging="420"/>
      </w:pPr>
      <w:rPr>
        <w:rFonts w:hint="default" w:ascii="Times New Roman" w:hAnsi="Times New Roman" w:cs="Times New Roman"/>
      </w:rPr>
    </w:lvl>
  </w:abstractNum>
  <w:abstractNum w:abstractNumId="21">
    <w:nsid w:val="7FD733B5"/>
    <w:multiLevelType w:val="multilevel"/>
    <w:tmpl w:val="7FD733B5"/>
    <w:lvl w:ilvl="0" w:tentative="0">
      <w:start w:val="1"/>
      <w:numFmt w:val="chineseCounting"/>
      <w:suff w:val="nothing"/>
      <w:lvlText w:val="%1、"/>
      <w:lvlJc w:val="left"/>
      <w:pPr>
        <w:ind w:left="21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
  </w:num>
  <w:num w:numId="2">
    <w:abstractNumId w:val="9"/>
  </w:num>
  <w:num w:numId="3">
    <w:abstractNumId w:val="10"/>
  </w:num>
  <w:num w:numId="4">
    <w:abstractNumId w:val="6"/>
  </w:num>
  <w:num w:numId="5">
    <w:abstractNumId w:val="19"/>
  </w:num>
  <w:num w:numId="6">
    <w:abstractNumId w:val="16"/>
  </w:num>
  <w:num w:numId="7">
    <w:abstractNumId w:val="4"/>
  </w:num>
  <w:num w:numId="8">
    <w:abstractNumId w:val="11"/>
  </w:num>
  <w:num w:numId="9">
    <w:abstractNumId w:val="5"/>
  </w:num>
  <w:num w:numId="10">
    <w:abstractNumId w:val="0"/>
  </w:num>
  <w:num w:numId="11">
    <w:abstractNumId w:val="7"/>
  </w:num>
  <w:num w:numId="12">
    <w:abstractNumId w:val="13"/>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5"/>
  </w:num>
  <w:num w:numId="21">
    <w:abstractNumId w:val="8"/>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334D"/>
    <w:rsid w:val="00002C68"/>
    <w:rsid w:val="000B4C48"/>
    <w:rsid w:val="000D166E"/>
    <w:rsid w:val="000D70B6"/>
    <w:rsid w:val="000E636C"/>
    <w:rsid w:val="000F0387"/>
    <w:rsid w:val="001B630B"/>
    <w:rsid w:val="001D596F"/>
    <w:rsid w:val="00262A48"/>
    <w:rsid w:val="002A708E"/>
    <w:rsid w:val="002C7E55"/>
    <w:rsid w:val="002D083E"/>
    <w:rsid w:val="002F1CCF"/>
    <w:rsid w:val="00407334"/>
    <w:rsid w:val="00443742"/>
    <w:rsid w:val="00487694"/>
    <w:rsid w:val="004A1E20"/>
    <w:rsid w:val="004F5FF0"/>
    <w:rsid w:val="005333D5"/>
    <w:rsid w:val="00533611"/>
    <w:rsid w:val="00624017"/>
    <w:rsid w:val="00824687"/>
    <w:rsid w:val="00914A80"/>
    <w:rsid w:val="00A421EB"/>
    <w:rsid w:val="00A5334D"/>
    <w:rsid w:val="00B1189B"/>
    <w:rsid w:val="00B941B1"/>
    <w:rsid w:val="00BB14F7"/>
    <w:rsid w:val="00BF022D"/>
    <w:rsid w:val="00BF49F8"/>
    <w:rsid w:val="00C51B22"/>
    <w:rsid w:val="00C90201"/>
    <w:rsid w:val="00DA5189"/>
    <w:rsid w:val="00DF16EE"/>
    <w:rsid w:val="00E24E8D"/>
    <w:rsid w:val="00E8651B"/>
    <w:rsid w:val="00E91280"/>
    <w:rsid w:val="00E95F39"/>
    <w:rsid w:val="00EB317A"/>
    <w:rsid w:val="00EE3A71"/>
    <w:rsid w:val="00F76C81"/>
    <w:rsid w:val="00FB47BD"/>
    <w:rsid w:val="00FE0D47"/>
    <w:rsid w:val="00FE4FB7"/>
    <w:rsid w:val="08EF407C"/>
    <w:rsid w:val="0BF67959"/>
    <w:rsid w:val="177D6E00"/>
    <w:rsid w:val="1BBD62EF"/>
    <w:rsid w:val="23C72852"/>
    <w:rsid w:val="3FC377CA"/>
    <w:rsid w:val="43662F7F"/>
    <w:rsid w:val="7AAC0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4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52"/>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64"/>
    <w:semiHidden/>
    <w:unhideWhenUsed/>
    <w:qFormat/>
    <w:uiPriority w:val="9"/>
    <w:pPr>
      <w:keepNext/>
      <w:keepLines/>
      <w:spacing w:before="260" w:after="260" w:line="416" w:lineRule="auto"/>
      <w:outlineLvl w:val="2"/>
    </w:pPr>
    <w:rPr>
      <w:b/>
      <w:bCs/>
      <w:sz w:val="32"/>
      <w:szCs w:val="32"/>
    </w:rPr>
  </w:style>
  <w:style w:type="character" w:default="1" w:styleId="18">
    <w:name w:val="Default Paragraph Font"/>
    <w:semiHidden/>
    <w:unhideWhenUsed/>
    <w:uiPriority w:val="1"/>
  </w:style>
  <w:style w:type="table" w:default="1" w:styleId="23">
    <w:name w:val="Normal Table"/>
    <w:semiHidden/>
    <w:unhideWhenUsed/>
    <w:uiPriority w:val="99"/>
    <w:tblPr>
      <w:tblLayout w:type="fixed"/>
      <w:tblCellMar>
        <w:top w:w="0" w:type="dxa"/>
        <w:left w:w="108" w:type="dxa"/>
        <w:bottom w:w="0" w:type="dxa"/>
        <w:right w:w="108" w:type="dxa"/>
      </w:tblCellMar>
    </w:tblPr>
  </w:style>
  <w:style w:type="paragraph" w:customStyle="1" w:styleId="2">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6">
    <w:name w:val="annotation subject"/>
    <w:basedOn w:val="7"/>
    <w:next w:val="7"/>
    <w:link w:val="46"/>
    <w:unhideWhenUsed/>
    <w:qFormat/>
    <w:uiPriority w:val="99"/>
    <w:rPr>
      <w:b/>
      <w:bCs/>
    </w:rPr>
  </w:style>
  <w:style w:type="paragraph" w:styleId="7">
    <w:name w:val="annotation text"/>
    <w:basedOn w:val="1"/>
    <w:link w:val="49"/>
    <w:unhideWhenUsed/>
    <w:qFormat/>
    <w:uiPriority w:val="99"/>
    <w:pPr>
      <w:jc w:val="left"/>
    </w:pPr>
  </w:style>
  <w:style w:type="paragraph" w:styleId="8">
    <w:name w:val="Normal Indent"/>
    <w:basedOn w:val="1"/>
    <w:link w:val="62"/>
    <w:qFormat/>
    <w:uiPriority w:val="0"/>
    <w:pPr>
      <w:ind w:firstLine="420"/>
    </w:pPr>
    <w:rPr>
      <w:rFonts w:ascii="Times New Roman" w:hAnsi="Times New Roman"/>
      <w:szCs w:val="20"/>
    </w:rPr>
  </w:style>
  <w:style w:type="paragraph" w:styleId="9">
    <w:name w:val="Body Text"/>
    <w:basedOn w:val="1"/>
    <w:link w:val="69"/>
    <w:semiHidden/>
    <w:unhideWhenUsed/>
    <w:qFormat/>
    <w:uiPriority w:val="99"/>
    <w:pPr>
      <w:spacing w:after="120"/>
    </w:pPr>
  </w:style>
  <w:style w:type="paragraph" w:styleId="10">
    <w:name w:val="Body Text Indent"/>
    <w:basedOn w:val="1"/>
    <w:link w:val="66"/>
    <w:qFormat/>
    <w:uiPriority w:val="0"/>
    <w:pPr>
      <w:spacing w:after="120"/>
      <w:ind w:left="420" w:leftChars="200"/>
    </w:pPr>
    <w:rPr>
      <w:rFonts w:ascii="Times New Roman" w:hAnsi="Times New Roman"/>
      <w:szCs w:val="24"/>
    </w:rPr>
  </w:style>
  <w:style w:type="paragraph" w:styleId="11">
    <w:name w:val="Plain Text"/>
    <w:basedOn w:val="1"/>
    <w:link w:val="51"/>
    <w:qFormat/>
    <w:uiPriority w:val="99"/>
    <w:rPr>
      <w:rFonts w:ascii="宋体" w:hAnsi="Courier New"/>
      <w:kern w:val="0"/>
      <w:sz w:val="20"/>
      <w:szCs w:val="21"/>
    </w:rPr>
  </w:style>
  <w:style w:type="paragraph" w:styleId="12">
    <w:name w:val="Balloon Text"/>
    <w:basedOn w:val="1"/>
    <w:link w:val="48"/>
    <w:unhideWhenUsed/>
    <w:qFormat/>
    <w:uiPriority w:val="99"/>
    <w:rPr>
      <w:sz w:val="18"/>
      <w:szCs w:val="18"/>
    </w:rPr>
  </w:style>
  <w:style w:type="paragraph" w:styleId="13">
    <w:name w:val="footer"/>
    <w:basedOn w:val="1"/>
    <w:link w:val="43"/>
    <w:unhideWhenUsed/>
    <w:qFormat/>
    <w:uiPriority w:val="99"/>
    <w:pPr>
      <w:tabs>
        <w:tab w:val="center" w:pos="4153"/>
        <w:tab w:val="right" w:pos="8306"/>
      </w:tabs>
      <w:snapToGrid w:val="0"/>
      <w:jc w:val="left"/>
    </w:pPr>
    <w:rPr>
      <w:sz w:val="18"/>
      <w:szCs w:val="18"/>
    </w:rPr>
  </w:style>
  <w:style w:type="paragraph" w:styleId="14">
    <w:name w:val="header"/>
    <w:basedOn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Body Text Indent 3"/>
    <w:basedOn w:val="1"/>
    <w:link w:val="65"/>
    <w:qFormat/>
    <w:uiPriority w:val="0"/>
    <w:pPr>
      <w:spacing w:after="120"/>
      <w:ind w:left="420" w:leftChars="200"/>
    </w:pPr>
    <w:rPr>
      <w:rFonts w:ascii="Times New Roman" w:hAnsi="Times New Roman"/>
      <w:sz w:val="16"/>
      <w:szCs w:val="16"/>
    </w:rPr>
  </w:style>
  <w:style w:type="paragraph" w:styleId="16">
    <w:name w:val="Normal (Web)"/>
    <w:basedOn w:val="1"/>
    <w:link w:val="63"/>
    <w:unhideWhenUsed/>
    <w:qFormat/>
    <w:uiPriority w:val="0"/>
    <w:pPr>
      <w:widowControl/>
      <w:spacing w:before="100" w:beforeAutospacing="1" w:after="100" w:afterAutospacing="1"/>
      <w:jc w:val="left"/>
    </w:pPr>
    <w:rPr>
      <w:rFonts w:ascii="宋体" w:hAnsi="宋体" w:cs="宋体"/>
      <w:kern w:val="0"/>
      <w:sz w:val="24"/>
      <w:szCs w:val="24"/>
    </w:rPr>
  </w:style>
  <w:style w:type="paragraph" w:styleId="17">
    <w:name w:val="Title"/>
    <w:basedOn w:val="1"/>
    <w:next w:val="1"/>
    <w:link w:val="50"/>
    <w:qFormat/>
    <w:uiPriority w:val="0"/>
    <w:pPr>
      <w:spacing w:before="240" w:after="60"/>
      <w:jc w:val="center"/>
      <w:outlineLvl w:val="0"/>
    </w:pPr>
    <w:rPr>
      <w:rFonts w:ascii="Cambria" w:hAnsi="Cambria"/>
      <w:b/>
      <w:bCs/>
      <w:kern w:val="0"/>
      <w:sz w:val="32"/>
      <w:szCs w:val="32"/>
    </w:rPr>
  </w:style>
  <w:style w:type="character" w:styleId="19">
    <w:name w:val="Strong"/>
    <w:qFormat/>
    <w:uiPriority w:val="22"/>
    <w:rPr>
      <w:b/>
      <w:bCs/>
    </w:rPr>
  </w:style>
  <w:style w:type="character" w:styleId="20">
    <w:name w:val="FollowedHyperlink"/>
    <w:semiHidden/>
    <w:unhideWhenUsed/>
    <w:qFormat/>
    <w:uiPriority w:val="99"/>
    <w:rPr>
      <w:color w:val="800080"/>
      <w:u w:val="single"/>
    </w:rPr>
  </w:style>
  <w:style w:type="character" w:styleId="21">
    <w:name w:val="Hyperlink"/>
    <w:semiHidden/>
    <w:unhideWhenUsed/>
    <w:qFormat/>
    <w:uiPriority w:val="99"/>
    <w:rPr>
      <w:color w:val="0000FF"/>
      <w:u w:val="single"/>
    </w:rPr>
  </w:style>
  <w:style w:type="character" w:styleId="22">
    <w:name w:val="annotation reference"/>
    <w:unhideWhenUsed/>
    <w:qFormat/>
    <w:uiPriority w:val="99"/>
    <w:rPr>
      <w:sz w:val="21"/>
      <w:szCs w:val="21"/>
    </w:rPr>
  </w:style>
  <w:style w:type="paragraph" w:customStyle="1" w:styleId="24">
    <w:name w:val="列出段落1"/>
    <w:basedOn w:val="1"/>
    <w:link w:val="45"/>
    <w:qFormat/>
    <w:uiPriority w:val="34"/>
    <w:pPr>
      <w:ind w:firstLine="420" w:firstLineChars="200"/>
    </w:pPr>
    <w:rPr>
      <w:szCs w:val="24"/>
    </w:rPr>
  </w:style>
  <w:style w:type="paragraph" w:customStyle="1" w:styleId="25">
    <w:name w:val="列出段落2"/>
    <w:basedOn w:val="1"/>
    <w:link w:val="53"/>
    <w:qFormat/>
    <w:uiPriority w:val="34"/>
    <w:pPr>
      <w:ind w:firstLine="420" w:firstLineChars="200"/>
    </w:pPr>
  </w:style>
  <w:style w:type="paragraph" w:customStyle="1" w:styleId="26">
    <w:name w:val="p0"/>
    <w:basedOn w:val="1"/>
    <w:qFormat/>
    <w:uiPriority w:val="0"/>
    <w:pPr>
      <w:widowControl/>
    </w:pPr>
    <w:rPr>
      <w:rFonts w:ascii="Times New Roman" w:hAnsi="Times New Roman"/>
      <w:kern w:val="0"/>
      <w:szCs w:val="21"/>
    </w:rPr>
  </w:style>
  <w:style w:type="paragraph" w:customStyle="1" w:styleId="27">
    <w:name w:val="图"/>
    <w:basedOn w:val="1"/>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28">
    <w:name w:val="样式"/>
    <w:qFormat/>
    <w:uiPriority w:val="99"/>
    <w:pPr>
      <w:widowControl w:val="0"/>
      <w:autoSpaceDE w:val="0"/>
      <w:autoSpaceDN w:val="0"/>
      <w:adjustRightInd w:val="0"/>
    </w:pPr>
    <w:rPr>
      <w:rFonts w:ascii="Times New Roman" w:hAnsi="Times New Roman" w:eastAsia="宋体" w:cs="Times New Roman"/>
      <w:sz w:val="24"/>
      <w:lang w:val="en-US" w:eastAsia="zh-CN" w:bidi="ar-SA"/>
    </w:rPr>
  </w:style>
  <w:style w:type="paragraph" w:customStyle="1" w:styleId="29">
    <w:name w:val="列表段落1"/>
    <w:basedOn w:val="1"/>
    <w:qFormat/>
    <w:uiPriority w:val="0"/>
    <w:pPr>
      <w:ind w:firstLine="420" w:firstLineChars="200"/>
    </w:pPr>
  </w:style>
  <w:style w:type="paragraph" w:customStyle="1" w:styleId="3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1">
    <w:name w:val="xl65"/>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32">
    <w:name w:val="xl66"/>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3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3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37">
    <w:name w:val="xl7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3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40">
    <w:name w:val="_Style 51"/>
    <w:basedOn w:val="1"/>
    <w:next w:val="25"/>
    <w:qFormat/>
    <w:uiPriority w:val="34"/>
    <w:pPr>
      <w:ind w:firstLine="420" w:firstLineChars="200"/>
    </w:pPr>
    <w:rPr>
      <w:rFonts w:ascii="Times New Roman" w:hAnsi="Times New Roman"/>
    </w:rPr>
  </w:style>
  <w:style w:type="paragraph" w:customStyle="1" w:styleId="41">
    <w:name w:val="Table Paragraph"/>
    <w:basedOn w:val="1"/>
    <w:qFormat/>
    <w:uiPriority w:val="1"/>
    <w:rPr>
      <w:rFonts w:ascii="宋体" w:hAnsi="宋体" w:cs="宋体"/>
      <w:szCs w:val="24"/>
      <w:lang w:val="zh-CN" w:bidi="zh-CN"/>
    </w:rPr>
  </w:style>
  <w:style w:type="paragraph" w:customStyle="1" w:styleId="42">
    <w:name w:val="_Style 121"/>
    <w:basedOn w:val="1"/>
    <w:next w:val="25"/>
    <w:qFormat/>
    <w:uiPriority w:val="34"/>
    <w:pPr>
      <w:ind w:firstLine="420" w:firstLineChars="200"/>
    </w:pPr>
  </w:style>
  <w:style w:type="character" w:customStyle="1" w:styleId="43">
    <w:name w:val="页脚 Char"/>
    <w:link w:val="13"/>
    <w:qFormat/>
    <w:uiPriority w:val="99"/>
    <w:rPr>
      <w:kern w:val="2"/>
      <w:sz w:val="18"/>
      <w:szCs w:val="18"/>
    </w:rPr>
  </w:style>
  <w:style w:type="character" w:customStyle="1" w:styleId="44">
    <w:name w:val="页眉 Char"/>
    <w:link w:val="14"/>
    <w:qFormat/>
    <w:uiPriority w:val="99"/>
    <w:rPr>
      <w:kern w:val="2"/>
      <w:sz w:val="18"/>
      <w:szCs w:val="18"/>
    </w:rPr>
  </w:style>
  <w:style w:type="character" w:customStyle="1" w:styleId="45">
    <w:name w:val="List Paragraph Char"/>
    <w:link w:val="24"/>
    <w:qFormat/>
    <w:locked/>
    <w:uiPriority w:val="34"/>
    <w:rPr>
      <w:kern w:val="2"/>
      <w:sz w:val="21"/>
      <w:szCs w:val="24"/>
    </w:rPr>
  </w:style>
  <w:style w:type="character" w:customStyle="1" w:styleId="46">
    <w:name w:val="批注主题 Char"/>
    <w:link w:val="6"/>
    <w:semiHidden/>
    <w:qFormat/>
    <w:uiPriority w:val="99"/>
    <w:rPr>
      <w:b/>
      <w:bCs/>
      <w:kern w:val="2"/>
      <w:sz w:val="21"/>
      <w:szCs w:val="22"/>
    </w:rPr>
  </w:style>
  <w:style w:type="character" w:customStyle="1" w:styleId="47">
    <w:name w:val="标题 1 Char"/>
    <w:link w:val="3"/>
    <w:qFormat/>
    <w:uiPriority w:val="9"/>
    <w:rPr>
      <w:b/>
      <w:bCs/>
      <w:kern w:val="44"/>
      <w:sz w:val="44"/>
      <w:szCs w:val="44"/>
    </w:rPr>
  </w:style>
  <w:style w:type="character" w:customStyle="1" w:styleId="48">
    <w:name w:val="批注框文本 Char"/>
    <w:link w:val="12"/>
    <w:semiHidden/>
    <w:qFormat/>
    <w:uiPriority w:val="99"/>
    <w:rPr>
      <w:kern w:val="2"/>
      <w:sz w:val="18"/>
      <w:szCs w:val="18"/>
    </w:rPr>
  </w:style>
  <w:style w:type="character" w:customStyle="1" w:styleId="49">
    <w:name w:val="批注文字 Char1"/>
    <w:link w:val="7"/>
    <w:qFormat/>
    <w:uiPriority w:val="99"/>
    <w:rPr>
      <w:kern w:val="2"/>
      <w:sz w:val="21"/>
      <w:szCs w:val="22"/>
    </w:rPr>
  </w:style>
  <w:style w:type="character" w:customStyle="1" w:styleId="50">
    <w:name w:val="标题 Char"/>
    <w:link w:val="17"/>
    <w:qFormat/>
    <w:uiPriority w:val="0"/>
    <w:rPr>
      <w:rFonts w:ascii="Cambria" w:hAnsi="Cambria" w:eastAsia="宋体" w:cs="Times New Roman"/>
      <w:b/>
      <w:bCs/>
      <w:sz w:val="32"/>
      <w:szCs w:val="32"/>
    </w:rPr>
  </w:style>
  <w:style w:type="character" w:customStyle="1" w:styleId="51">
    <w:name w:val="纯文本 Char2"/>
    <w:link w:val="11"/>
    <w:qFormat/>
    <w:uiPriority w:val="99"/>
    <w:rPr>
      <w:rFonts w:ascii="宋体" w:hAnsi="Courier New"/>
      <w:szCs w:val="21"/>
    </w:rPr>
  </w:style>
  <w:style w:type="character" w:customStyle="1" w:styleId="52">
    <w:name w:val="标题 2 Char"/>
    <w:link w:val="4"/>
    <w:qFormat/>
    <w:uiPriority w:val="9"/>
    <w:rPr>
      <w:rFonts w:ascii="Cambria" w:hAnsi="Cambria"/>
      <w:b/>
      <w:bCs/>
      <w:kern w:val="2"/>
      <w:sz w:val="32"/>
      <w:szCs w:val="32"/>
    </w:rPr>
  </w:style>
  <w:style w:type="character" w:customStyle="1" w:styleId="53">
    <w:name w:val="列表段落 字符"/>
    <w:link w:val="25"/>
    <w:qFormat/>
    <w:uiPriority w:val="34"/>
    <w:rPr>
      <w:kern w:val="2"/>
      <w:sz w:val="21"/>
      <w:szCs w:val="22"/>
    </w:rPr>
  </w:style>
  <w:style w:type="character" w:customStyle="1" w:styleId="54">
    <w:name w:val="纯文本 Char1"/>
    <w:qFormat/>
    <w:uiPriority w:val="0"/>
    <w:rPr>
      <w:rFonts w:ascii="宋体" w:hAnsi="Courier New" w:eastAsia="宋体" w:cs="Times New Roman"/>
      <w:kern w:val="0"/>
      <w:sz w:val="20"/>
      <w:szCs w:val="21"/>
    </w:rPr>
  </w:style>
  <w:style w:type="character" w:customStyle="1" w:styleId="55">
    <w:name w:val="font171"/>
    <w:qFormat/>
    <w:uiPriority w:val="0"/>
    <w:rPr>
      <w:rFonts w:hint="eastAsia" w:ascii="宋体" w:hAnsi="宋体" w:eastAsia="宋体" w:cs="宋体"/>
      <w:color w:val="339966"/>
      <w:sz w:val="20"/>
      <w:szCs w:val="20"/>
      <w:u w:val="none"/>
    </w:rPr>
  </w:style>
  <w:style w:type="character" w:customStyle="1" w:styleId="56">
    <w:name w:val="纯文本 Char"/>
    <w:semiHidden/>
    <w:qFormat/>
    <w:uiPriority w:val="99"/>
    <w:rPr>
      <w:rFonts w:ascii="宋体" w:hAnsi="Courier New" w:cs="Courier New"/>
      <w:kern w:val="2"/>
      <w:sz w:val="21"/>
      <w:szCs w:val="21"/>
    </w:rPr>
  </w:style>
  <w:style w:type="character" w:customStyle="1" w:styleId="57">
    <w:name w:val="列出段落 Char"/>
    <w:qFormat/>
    <w:uiPriority w:val="34"/>
  </w:style>
  <w:style w:type="character" w:customStyle="1" w:styleId="58">
    <w:name w:val="批注文字 Char"/>
    <w:qFormat/>
    <w:uiPriority w:val="99"/>
    <w:rPr>
      <w:rFonts w:ascii="Times New Roman" w:hAnsi="Times New Roman" w:eastAsia="宋体" w:cs="Times New Roman"/>
      <w:kern w:val="0"/>
      <w:sz w:val="20"/>
      <w:szCs w:val="20"/>
    </w:rPr>
  </w:style>
  <w:style w:type="character" w:customStyle="1" w:styleId="59">
    <w:name w:val="批注文字 字符1"/>
    <w:basedOn w:val="18"/>
    <w:qFormat/>
    <w:uiPriority w:val="0"/>
  </w:style>
  <w:style w:type="character" w:customStyle="1" w:styleId="60">
    <w:name w:val="纯文本 字符1"/>
    <w:qFormat/>
    <w:uiPriority w:val="0"/>
    <w:rPr>
      <w:rFonts w:ascii="宋体" w:hAnsi="Courier New" w:eastAsia="宋体" w:cs="Courier New"/>
      <w:szCs w:val="21"/>
    </w:rPr>
  </w:style>
  <w:style w:type="character" w:customStyle="1" w:styleId="61">
    <w:name w:val="列表段落 字符1"/>
    <w:qFormat/>
    <w:uiPriority w:val="0"/>
  </w:style>
  <w:style w:type="character" w:customStyle="1" w:styleId="62">
    <w:name w:val="正文缩进 Char"/>
    <w:link w:val="8"/>
    <w:qFormat/>
    <w:locked/>
    <w:uiPriority w:val="0"/>
    <w:rPr>
      <w:rFonts w:ascii="Times New Roman" w:hAnsi="Times New Roman"/>
      <w:kern w:val="2"/>
      <w:sz w:val="21"/>
    </w:rPr>
  </w:style>
  <w:style w:type="character" w:customStyle="1" w:styleId="63">
    <w:name w:val="普通(网站) Char"/>
    <w:link w:val="16"/>
    <w:qFormat/>
    <w:uiPriority w:val="0"/>
    <w:rPr>
      <w:rFonts w:ascii="宋体" w:hAnsi="宋体" w:cs="宋体"/>
      <w:sz w:val="24"/>
      <w:szCs w:val="24"/>
    </w:rPr>
  </w:style>
  <w:style w:type="character" w:customStyle="1" w:styleId="64">
    <w:name w:val="标题 3 Char"/>
    <w:link w:val="5"/>
    <w:semiHidden/>
    <w:qFormat/>
    <w:uiPriority w:val="9"/>
    <w:rPr>
      <w:b/>
      <w:bCs/>
      <w:kern w:val="2"/>
      <w:sz w:val="32"/>
      <w:szCs w:val="32"/>
    </w:rPr>
  </w:style>
  <w:style w:type="character" w:customStyle="1" w:styleId="65">
    <w:name w:val="正文文本缩进 3 Char"/>
    <w:link w:val="15"/>
    <w:qFormat/>
    <w:uiPriority w:val="0"/>
    <w:rPr>
      <w:rFonts w:ascii="Times New Roman" w:hAnsi="Times New Roman"/>
      <w:kern w:val="2"/>
      <w:sz w:val="16"/>
      <w:szCs w:val="16"/>
    </w:rPr>
  </w:style>
  <w:style w:type="character" w:customStyle="1" w:styleId="66">
    <w:name w:val="正文文本缩进 Char"/>
    <w:link w:val="10"/>
    <w:qFormat/>
    <w:uiPriority w:val="0"/>
    <w:rPr>
      <w:rFonts w:ascii="Times New Roman" w:hAnsi="Times New Roman"/>
      <w:kern w:val="2"/>
      <w:sz w:val="21"/>
      <w:szCs w:val="24"/>
    </w:rPr>
  </w:style>
  <w:style w:type="character" w:customStyle="1" w:styleId="67">
    <w:name w:val="font11"/>
    <w:qFormat/>
    <w:uiPriority w:val="0"/>
    <w:rPr>
      <w:rFonts w:hint="default" w:ascii="Times New Roman" w:hAnsi="Times New Roman" w:cs="Times New Roman"/>
      <w:color w:val="000000"/>
      <w:sz w:val="20"/>
      <w:szCs w:val="20"/>
      <w:u w:val="none"/>
    </w:rPr>
  </w:style>
  <w:style w:type="character" w:customStyle="1" w:styleId="68">
    <w:name w:val="font21"/>
    <w:qFormat/>
    <w:uiPriority w:val="0"/>
    <w:rPr>
      <w:rFonts w:hint="eastAsia" w:ascii="宋体" w:hAnsi="宋体" w:eastAsia="宋体" w:cs="宋体"/>
      <w:color w:val="000000"/>
      <w:sz w:val="20"/>
      <w:szCs w:val="20"/>
      <w:u w:val="none"/>
    </w:rPr>
  </w:style>
  <w:style w:type="character" w:customStyle="1" w:styleId="69">
    <w:name w:val="正文文本 Char"/>
    <w:link w:val="9"/>
    <w:semiHidden/>
    <w:qFormat/>
    <w:uiPriority w:val="99"/>
    <w:rPr>
      <w:kern w:val="2"/>
      <w:sz w:val="21"/>
      <w:szCs w:val="22"/>
    </w:rPr>
  </w:style>
  <w:style w:type="paragraph" w:customStyle="1" w:styleId="70">
    <w:name w:val="列表段落11"/>
    <w:basedOn w:val="1"/>
    <w:qFormat/>
    <w:uiPriority w:val="34"/>
    <w:pPr>
      <w:ind w:firstLine="420" w:firstLineChars="200"/>
    </w:pPr>
  </w:style>
  <w:style w:type="paragraph" w:customStyle="1" w:styleId="71">
    <w:name w:val="msonormal"/>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72">
    <w:name w:val="修订1"/>
    <w:hidden/>
    <w:unhideWhenUsed/>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9"/>
    <customShpInfo spid="_x0000_s1027"/>
    <customShpInfo spid="_x0000_s1031"/>
    <customShpInfo spid="_x0000_s1032"/>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2347</Words>
  <Characters>13383</Characters>
  <Lines>111</Lines>
  <Paragraphs>31</Paragraphs>
  <TotalTime>2</TotalTime>
  <ScaleCrop>false</ScaleCrop>
  <LinksUpToDate>false</LinksUpToDate>
  <CharactersWithSpaces>15699</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2024-01-04T01:35:00Z</dcterms:created>
  <dc:creator>用户</dc:creator>
  <cp:lastModifiedBy>TANG</cp:lastModifiedBy>
  <cp:lastPrinted>2024-01-04T00:53:00Z</cp:lastPrinted>
  <dcterms:modified xsi:type="dcterms:W3CDTF">2024-01-04T06:46:30Z</dcterms:modified>
  <dc:title>竞价文件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